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A8396" w14:textId="7A4EB132" w:rsidR="00E203C2" w:rsidRDefault="00E203C2" w:rsidP="00E203C2">
      <w:r>
        <w:rPr>
          <w:noProof/>
          <w:lang w:eastAsia="en-GB" w:bidi="ar-SA"/>
        </w:rPr>
        <w:drawing>
          <wp:inline distT="0" distB="0" distL="0" distR="0" wp14:anchorId="658A84C5" wp14:editId="37F0B1B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58A8397" w14:textId="77777777" w:rsidR="00E203C2" w:rsidRDefault="00E203C2" w:rsidP="00E203C2"/>
    <w:p w14:paraId="58CCEA1C" w14:textId="77777777" w:rsidR="00910A30" w:rsidRDefault="00910A30" w:rsidP="00910A30">
      <w:pPr>
        <w:tabs>
          <w:tab w:val="left" w:pos="851"/>
        </w:tabs>
        <w:rPr>
          <w:b/>
          <w:sz w:val="28"/>
          <w:szCs w:val="28"/>
        </w:rPr>
      </w:pPr>
      <w:r>
        <w:rPr>
          <w:b/>
          <w:sz w:val="28"/>
          <w:szCs w:val="28"/>
        </w:rPr>
        <w:t>20 August 2015</w:t>
      </w:r>
    </w:p>
    <w:p w14:paraId="483E186D" w14:textId="77777777" w:rsidR="00910A30" w:rsidRDefault="00910A30" w:rsidP="00910A30">
      <w:pPr>
        <w:rPr>
          <w:b/>
          <w:sz w:val="28"/>
          <w:szCs w:val="28"/>
        </w:rPr>
      </w:pPr>
      <w:r>
        <w:rPr>
          <w:b/>
          <w:sz w:val="28"/>
          <w:szCs w:val="28"/>
        </w:rPr>
        <w:t>[19–15]</w:t>
      </w:r>
    </w:p>
    <w:p w14:paraId="658A839A" w14:textId="77777777" w:rsidR="00BA24E2" w:rsidRDefault="00BA24E2" w:rsidP="00E203C2"/>
    <w:p w14:paraId="658A839B" w14:textId="1B10666A"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017394">
        <w:rPr>
          <w:rFonts w:ascii="Arial Bold" w:hAnsi="Arial Bold"/>
          <w:b/>
        </w:rPr>
        <w:t>A</w:t>
      </w:r>
      <w:r w:rsidR="00A91DF1" w:rsidRPr="00017394">
        <w:rPr>
          <w:rFonts w:ascii="Arial Bold" w:hAnsi="Arial Bold"/>
          <w:b/>
        </w:rPr>
        <w:t>pplication</w:t>
      </w:r>
      <w:r w:rsidR="00580026" w:rsidRPr="00017394">
        <w:rPr>
          <w:rFonts w:ascii="Arial Bold" w:hAnsi="Arial Bold"/>
          <w:b/>
        </w:rPr>
        <w:t xml:space="preserve"> A1100</w:t>
      </w:r>
    </w:p>
    <w:p w14:paraId="658A839C" w14:textId="77777777" w:rsidR="00E203C2" w:rsidRPr="00E203C2" w:rsidRDefault="00E203C2" w:rsidP="00E203C2"/>
    <w:p w14:paraId="658A839D" w14:textId="5A25FCD0" w:rsidR="00D056F1" w:rsidRPr="00017394" w:rsidRDefault="00017394" w:rsidP="002432EE">
      <w:pPr>
        <w:pStyle w:val="FSTitle"/>
      </w:pPr>
      <w:r w:rsidRPr="00017394">
        <w:t>Maximum Permitted Level of Acesulphame Potassium in Chewing Gum</w:t>
      </w:r>
    </w:p>
    <w:p w14:paraId="658A839E" w14:textId="77777777" w:rsidR="00E203C2" w:rsidRPr="00E81F6E" w:rsidRDefault="00E203C2" w:rsidP="00E203C2">
      <w:pPr>
        <w:pBdr>
          <w:bottom w:val="single" w:sz="12" w:space="1" w:color="auto"/>
        </w:pBdr>
        <w:spacing w:line="280" w:lineRule="exact"/>
        <w:rPr>
          <w:rFonts w:cs="Arial"/>
          <w:bCs/>
        </w:rPr>
      </w:pPr>
    </w:p>
    <w:p w14:paraId="658A839F" w14:textId="77777777" w:rsidR="00E203C2" w:rsidRPr="00E81F6E" w:rsidRDefault="00E203C2" w:rsidP="00E203C2"/>
    <w:p w14:paraId="658A83A0" w14:textId="2D537EB7" w:rsidR="00E063C6" w:rsidRPr="00017394" w:rsidRDefault="00E063C6" w:rsidP="00E203C2">
      <w:pPr>
        <w:rPr>
          <w:sz w:val="20"/>
          <w:szCs w:val="20"/>
        </w:rPr>
      </w:pPr>
      <w:r w:rsidRPr="00017394">
        <w:rPr>
          <w:sz w:val="20"/>
          <w:szCs w:val="20"/>
        </w:rPr>
        <w:t xml:space="preserve">FSANZ </w:t>
      </w:r>
      <w:r w:rsidR="00D81D38" w:rsidRPr="00017394">
        <w:rPr>
          <w:sz w:val="20"/>
          <w:szCs w:val="20"/>
        </w:rPr>
        <w:t>has assessed an A</w:t>
      </w:r>
      <w:r w:rsidR="00351B07" w:rsidRPr="00017394">
        <w:rPr>
          <w:sz w:val="20"/>
          <w:szCs w:val="20"/>
        </w:rPr>
        <w:t xml:space="preserve">pplication made by </w:t>
      </w:r>
      <w:r w:rsidR="00181B6D" w:rsidRPr="00181B6D">
        <w:rPr>
          <w:sz w:val="20"/>
          <w:szCs w:val="20"/>
        </w:rPr>
        <w:t xml:space="preserve">The Wrigley Company Pty Ltd </w:t>
      </w:r>
      <w:r w:rsidR="007C174F" w:rsidRPr="00017394">
        <w:rPr>
          <w:sz w:val="20"/>
          <w:szCs w:val="20"/>
        </w:rPr>
        <w:t>to</w:t>
      </w:r>
      <w:r w:rsidR="00017394" w:rsidRPr="00017394">
        <w:rPr>
          <w:sz w:val="20"/>
          <w:szCs w:val="20"/>
        </w:rPr>
        <w:t xml:space="preserve"> increase </w:t>
      </w:r>
      <w:r w:rsidR="00344171">
        <w:rPr>
          <w:sz w:val="20"/>
          <w:szCs w:val="20"/>
        </w:rPr>
        <w:t>the maximum permitted level of A</w:t>
      </w:r>
      <w:r w:rsidR="00017394" w:rsidRPr="00017394">
        <w:rPr>
          <w:sz w:val="20"/>
          <w:szCs w:val="20"/>
        </w:rPr>
        <w:t>ce</w:t>
      </w:r>
      <w:r w:rsidR="00344171">
        <w:rPr>
          <w:sz w:val="20"/>
          <w:szCs w:val="20"/>
        </w:rPr>
        <w:t>sulphame potassium</w:t>
      </w:r>
      <w:r w:rsidR="00017394" w:rsidRPr="00017394">
        <w:rPr>
          <w:sz w:val="20"/>
          <w:szCs w:val="20"/>
        </w:rPr>
        <w:t xml:space="preserve"> in chewing gum to align with</w:t>
      </w:r>
      <w:r w:rsidR="00344171">
        <w:rPr>
          <w:sz w:val="20"/>
          <w:szCs w:val="20"/>
        </w:rPr>
        <w:t xml:space="preserve"> international regulations and</w:t>
      </w:r>
      <w:r w:rsidR="00017394" w:rsidRPr="00017394">
        <w:rPr>
          <w:sz w:val="20"/>
          <w:szCs w:val="20"/>
        </w:rPr>
        <w:t xml:space="preserve"> standardise formulations </w:t>
      </w:r>
      <w:r w:rsidR="00413CA8" w:rsidRPr="00017394">
        <w:rPr>
          <w:sz w:val="20"/>
          <w:szCs w:val="20"/>
        </w:rPr>
        <w:t xml:space="preserve">and has prepared a draft </w:t>
      </w:r>
      <w:r w:rsidR="00D8470F" w:rsidRPr="00017394">
        <w:rPr>
          <w:sz w:val="20"/>
          <w:szCs w:val="20"/>
        </w:rPr>
        <w:t>food regulatory measure</w:t>
      </w:r>
      <w:r w:rsidR="00351B07" w:rsidRPr="00017394">
        <w:rPr>
          <w:sz w:val="20"/>
          <w:szCs w:val="20"/>
        </w:rPr>
        <w:t xml:space="preserve">. </w:t>
      </w:r>
      <w:r w:rsidR="00D22F3C" w:rsidRPr="00017394">
        <w:rPr>
          <w:sz w:val="20"/>
          <w:szCs w:val="20"/>
        </w:rPr>
        <w:t xml:space="preserve">Pursuant to section 31 of the </w:t>
      </w:r>
      <w:r w:rsidR="00D22F3C" w:rsidRPr="00017394">
        <w:rPr>
          <w:i/>
          <w:sz w:val="20"/>
          <w:szCs w:val="20"/>
        </w:rPr>
        <w:t>Food Standard</w:t>
      </w:r>
      <w:r w:rsidR="00E203C2" w:rsidRPr="00017394">
        <w:rPr>
          <w:i/>
          <w:sz w:val="20"/>
          <w:szCs w:val="20"/>
        </w:rPr>
        <w:t>s Australia New Zealand Act 1991</w:t>
      </w:r>
      <w:r w:rsidR="00D22F3C" w:rsidRPr="00017394">
        <w:rPr>
          <w:i/>
          <w:sz w:val="20"/>
          <w:szCs w:val="20"/>
        </w:rPr>
        <w:t xml:space="preserve"> </w:t>
      </w:r>
      <w:r w:rsidR="00E203C2" w:rsidRPr="00017394">
        <w:rPr>
          <w:sz w:val="20"/>
          <w:szCs w:val="20"/>
        </w:rPr>
        <w:t>(</w:t>
      </w:r>
      <w:r w:rsidR="00D22F3C" w:rsidRPr="00017394">
        <w:rPr>
          <w:sz w:val="20"/>
          <w:szCs w:val="20"/>
        </w:rPr>
        <w:t>FSANZ Act), FSANZ now c</w:t>
      </w:r>
      <w:r w:rsidR="00E203C2" w:rsidRPr="00017394">
        <w:rPr>
          <w:sz w:val="20"/>
          <w:szCs w:val="20"/>
        </w:rPr>
        <w:t xml:space="preserve">alls for submissions to assist consideration of the </w:t>
      </w:r>
      <w:r w:rsidR="00413CA8" w:rsidRPr="00017394">
        <w:rPr>
          <w:sz w:val="20"/>
          <w:szCs w:val="20"/>
        </w:rPr>
        <w:t xml:space="preserve">draft </w:t>
      </w:r>
      <w:r w:rsidR="00D8470F" w:rsidRPr="00017394">
        <w:rPr>
          <w:sz w:val="20"/>
          <w:szCs w:val="20"/>
        </w:rPr>
        <w:t>food regulatory measure</w:t>
      </w:r>
      <w:r w:rsidR="00D22F3C" w:rsidRPr="00017394">
        <w:rPr>
          <w:sz w:val="20"/>
          <w:szCs w:val="20"/>
        </w:rPr>
        <w:t>.</w:t>
      </w:r>
    </w:p>
    <w:p w14:paraId="658A83A3" w14:textId="77777777" w:rsidR="00413CA8" w:rsidRDefault="00413CA8" w:rsidP="00413CA8">
      <w:pPr>
        <w:rPr>
          <w:color w:val="FF0000"/>
          <w:sz w:val="20"/>
          <w:szCs w:val="20"/>
        </w:rPr>
      </w:pPr>
    </w:p>
    <w:p w14:paraId="658A83A8"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658A83A9" w14:textId="77777777" w:rsidR="00D81D38" w:rsidRPr="00276026" w:rsidRDefault="00D81D38" w:rsidP="00276026">
      <w:pPr>
        <w:rPr>
          <w:sz w:val="20"/>
          <w:szCs w:val="20"/>
        </w:rPr>
      </w:pPr>
    </w:p>
    <w:p w14:paraId="658A83AA"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58A83AB" w14:textId="77777777" w:rsidR="00876515" w:rsidRPr="00276026" w:rsidRDefault="00876515" w:rsidP="00276026">
      <w:pPr>
        <w:rPr>
          <w:color w:val="000000"/>
          <w:sz w:val="20"/>
          <w:szCs w:val="20"/>
          <w:lang w:val="en-AU"/>
        </w:rPr>
      </w:pPr>
    </w:p>
    <w:p w14:paraId="658A83AC"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658A83AD" w14:textId="77777777" w:rsidR="00E203C2" w:rsidRPr="007C174F" w:rsidRDefault="00E203C2" w:rsidP="00E203C2">
      <w:pPr>
        <w:rPr>
          <w:color w:val="000000"/>
          <w:sz w:val="20"/>
          <w:szCs w:val="20"/>
          <w:lang w:val="en-AU"/>
        </w:rPr>
      </w:pPr>
    </w:p>
    <w:p w14:paraId="658A83AE"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58A83AF" w14:textId="77777777" w:rsidR="00E203C2" w:rsidRPr="00552702" w:rsidRDefault="00E203C2" w:rsidP="00E203C2">
      <w:pPr>
        <w:rPr>
          <w:color w:val="000000"/>
          <w:sz w:val="18"/>
          <w:szCs w:val="20"/>
          <w:lang w:val="en-AU"/>
        </w:rPr>
      </w:pPr>
    </w:p>
    <w:p w14:paraId="658A83B0"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58A83B1" w14:textId="77777777" w:rsidR="00E203C2" w:rsidRPr="00910A30" w:rsidRDefault="00E203C2" w:rsidP="00E203C2">
      <w:pPr>
        <w:rPr>
          <w:sz w:val="18"/>
          <w:lang w:val="en-AU"/>
        </w:rPr>
      </w:pPr>
    </w:p>
    <w:p w14:paraId="658A83B2" w14:textId="2B5D24F7" w:rsidR="00E063C6" w:rsidRPr="00910A30" w:rsidRDefault="00E063C6" w:rsidP="00413CA8">
      <w:pPr>
        <w:tabs>
          <w:tab w:val="left" w:pos="7920"/>
        </w:tabs>
        <w:autoSpaceDE w:val="0"/>
        <w:autoSpaceDN w:val="0"/>
        <w:adjustRightInd w:val="0"/>
        <w:jc w:val="center"/>
        <w:rPr>
          <w:rFonts w:cs="Arial"/>
          <w:b/>
          <w:bCs/>
          <w:sz w:val="24"/>
        </w:rPr>
      </w:pPr>
      <w:r w:rsidRPr="00910A30">
        <w:rPr>
          <w:rFonts w:cs="Arial"/>
          <w:b/>
          <w:bCs/>
          <w:sz w:val="24"/>
        </w:rPr>
        <w:t>DEADLINE FOR SUBMISSIONS</w:t>
      </w:r>
      <w:r w:rsidRPr="00910A30">
        <w:rPr>
          <w:rFonts w:cs="Arial"/>
          <w:b/>
          <w:sz w:val="24"/>
        </w:rPr>
        <w:t xml:space="preserve">:  </w:t>
      </w:r>
      <w:r w:rsidRPr="00910A30">
        <w:rPr>
          <w:rFonts w:cs="Arial"/>
          <w:b/>
          <w:bCs/>
          <w:sz w:val="24"/>
        </w:rPr>
        <w:t xml:space="preserve">6pm (Canberra time) </w:t>
      </w:r>
      <w:r w:rsidR="00910A30" w:rsidRPr="00910A30">
        <w:rPr>
          <w:rFonts w:cs="Arial"/>
          <w:b/>
          <w:bCs/>
          <w:sz w:val="24"/>
        </w:rPr>
        <w:t>1 October 2015</w:t>
      </w:r>
    </w:p>
    <w:p w14:paraId="658A83B3" w14:textId="77777777" w:rsidR="00E203C2" w:rsidRPr="00552702" w:rsidRDefault="00E203C2" w:rsidP="00E203C2">
      <w:pPr>
        <w:rPr>
          <w:sz w:val="18"/>
          <w:szCs w:val="20"/>
          <w:lang w:val="en-AU"/>
        </w:rPr>
      </w:pPr>
    </w:p>
    <w:p w14:paraId="658A83B4" w14:textId="77777777" w:rsidR="00E063C6" w:rsidRPr="007C174F" w:rsidRDefault="00E063C6" w:rsidP="00552702">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658A83B5" w14:textId="77777777" w:rsidR="00E203C2" w:rsidRPr="00552702" w:rsidRDefault="00E203C2" w:rsidP="00E203C2">
      <w:pPr>
        <w:rPr>
          <w:sz w:val="18"/>
          <w:szCs w:val="20"/>
          <w:lang w:val="en-AU"/>
        </w:rPr>
      </w:pPr>
    </w:p>
    <w:p w14:paraId="658A83B6"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58A83B7" w14:textId="77777777" w:rsidR="00E203C2" w:rsidRPr="00552702" w:rsidRDefault="00E203C2" w:rsidP="003A7725">
      <w:pPr>
        <w:rPr>
          <w:sz w:val="18"/>
          <w:lang w:val="en-AU"/>
        </w:rPr>
      </w:pPr>
    </w:p>
    <w:p w14:paraId="658A83B9" w14:textId="156B172D" w:rsidR="00E203C2"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658A83BA"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658A83BB"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658A83BC"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BC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658A83BD"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658A83BF" w14:textId="280F90B3"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58A83C0" w14:textId="77777777" w:rsidR="00413CA8" w:rsidRDefault="00413CA8" w:rsidP="00E203C2">
      <w:pPr>
        <w:spacing w:line="280" w:lineRule="exact"/>
        <w:jc w:val="center"/>
        <w:rPr>
          <w:rFonts w:cs="Arial"/>
          <w:bCs/>
          <w:sz w:val="28"/>
          <w:szCs w:val="28"/>
        </w:rPr>
        <w:sectPr w:rsidR="00413CA8" w:rsidSect="00C61BFA">
          <w:headerReference w:type="default" r:id="rId20"/>
          <w:footerReference w:type="even" r:id="rId21"/>
          <w:footerReference w:type="default" r:id="rId22"/>
          <w:headerReference w:type="first" r:id="rId23"/>
          <w:pgSz w:w="11906" w:h="16838"/>
          <w:pgMar w:top="1418" w:right="1418" w:bottom="1418" w:left="1418" w:header="709" w:footer="709" w:gutter="0"/>
          <w:pgNumType w:fmt="lowerRoman" w:start="1"/>
          <w:cols w:space="708"/>
          <w:docGrid w:linePitch="360"/>
        </w:sectPr>
      </w:pPr>
    </w:p>
    <w:p w14:paraId="658A83C1"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658A83C2" w14:textId="77777777" w:rsidR="00562917" w:rsidRPr="00AE766D" w:rsidRDefault="00562917" w:rsidP="00051ED9">
      <w:pPr>
        <w:rPr>
          <w:rFonts w:cs="Arial"/>
        </w:rPr>
      </w:pPr>
    </w:p>
    <w:p w14:paraId="08389072" w14:textId="77777777" w:rsidR="00FF4699" w:rsidRPr="00910A30" w:rsidRDefault="00051ED9">
      <w:pPr>
        <w:pStyle w:val="TOC1"/>
        <w:tabs>
          <w:tab w:val="right" w:leader="dot" w:pos="9060"/>
        </w:tabs>
        <w:rPr>
          <w:rFonts w:ascii="Arial" w:eastAsiaTheme="minorEastAsia" w:hAnsi="Arial" w:cs="Arial"/>
          <w:b w:val="0"/>
          <w:bCs w:val="0"/>
          <w:caps w:val="0"/>
          <w:noProof/>
          <w:sz w:val="22"/>
          <w:szCs w:val="22"/>
          <w:lang w:val="en-NZ" w:eastAsia="en-NZ" w:bidi="ar-SA"/>
        </w:rPr>
      </w:pPr>
      <w:r w:rsidRPr="00910A30">
        <w:rPr>
          <w:rFonts w:ascii="Arial" w:hAnsi="Arial" w:cs="Arial"/>
        </w:rPr>
        <w:fldChar w:fldCharType="begin"/>
      </w:r>
      <w:r w:rsidRPr="00910A30">
        <w:rPr>
          <w:rFonts w:ascii="Arial" w:hAnsi="Arial" w:cs="Arial"/>
        </w:rPr>
        <w:instrText xml:space="preserve"> TOC \o "1-3" \h \z \u </w:instrText>
      </w:r>
      <w:r w:rsidRPr="00910A30">
        <w:rPr>
          <w:rFonts w:ascii="Arial" w:hAnsi="Arial" w:cs="Arial"/>
        </w:rPr>
        <w:fldChar w:fldCharType="separate"/>
      </w:r>
      <w:hyperlink w:anchor="_Toc427676490" w:history="1">
        <w:r w:rsidR="00FF4699" w:rsidRPr="00910A30">
          <w:rPr>
            <w:rStyle w:val="Hyperlink"/>
            <w:rFonts w:cs="Arial"/>
            <w:noProof/>
          </w:rPr>
          <w:t>Executive summary</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_Toc427676490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2</w:t>
        </w:r>
        <w:r w:rsidR="00FF4699" w:rsidRPr="00910A30">
          <w:rPr>
            <w:rFonts w:ascii="Arial" w:hAnsi="Arial" w:cs="Arial"/>
            <w:noProof/>
            <w:webHidden/>
          </w:rPr>
          <w:fldChar w:fldCharType="end"/>
        </w:r>
      </w:hyperlink>
    </w:p>
    <w:p w14:paraId="7D0A09C0" w14:textId="77777777" w:rsidR="00FF4699" w:rsidRPr="00910A30" w:rsidRDefault="00910A30">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27676491" w:history="1">
        <w:r w:rsidR="00FF4699" w:rsidRPr="00910A30">
          <w:rPr>
            <w:rStyle w:val="Hyperlink"/>
            <w:rFonts w:cs="Arial"/>
            <w:noProof/>
          </w:rPr>
          <w:t>1</w:t>
        </w:r>
        <w:r w:rsidR="00FF4699" w:rsidRPr="00910A30">
          <w:rPr>
            <w:rFonts w:ascii="Arial" w:eastAsiaTheme="minorEastAsia" w:hAnsi="Arial" w:cs="Arial"/>
            <w:b w:val="0"/>
            <w:bCs w:val="0"/>
            <w:caps w:val="0"/>
            <w:noProof/>
            <w:sz w:val="22"/>
            <w:szCs w:val="22"/>
            <w:lang w:val="en-NZ" w:eastAsia="en-NZ" w:bidi="ar-SA"/>
          </w:rPr>
          <w:tab/>
        </w:r>
        <w:r w:rsidR="00FF4699" w:rsidRPr="00910A30">
          <w:rPr>
            <w:rStyle w:val="Hyperlink"/>
            <w:rFonts w:cs="Arial"/>
            <w:noProof/>
          </w:rPr>
          <w:t>Introduction</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_Toc427676491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3</w:t>
        </w:r>
        <w:r w:rsidR="00FF4699" w:rsidRPr="00910A30">
          <w:rPr>
            <w:rFonts w:ascii="Arial" w:hAnsi="Arial" w:cs="Arial"/>
            <w:noProof/>
            <w:webHidden/>
          </w:rPr>
          <w:fldChar w:fldCharType="end"/>
        </w:r>
      </w:hyperlink>
    </w:p>
    <w:p w14:paraId="05250EA1"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492" w:history="1">
        <w:r w:rsidR="00FF4699" w:rsidRPr="00910A30">
          <w:rPr>
            <w:rStyle w:val="Hyperlink"/>
            <w:rFonts w:cs="Arial"/>
            <w:noProof/>
          </w:rPr>
          <w:t>1.1</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rPr>
          <w:t>The Applicant</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_Toc427676492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3</w:t>
        </w:r>
        <w:r w:rsidR="00FF4699" w:rsidRPr="00910A30">
          <w:rPr>
            <w:rFonts w:ascii="Arial" w:hAnsi="Arial" w:cs="Arial"/>
            <w:noProof/>
            <w:webHidden/>
          </w:rPr>
          <w:fldChar w:fldCharType="end"/>
        </w:r>
      </w:hyperlink>
    </w:p>
    <w:p w14:paraId="79AEDDF9"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493" w:history="1">
        <w:r w:rsidR="00FF4699" w:rsidRPr="00910A30">
          <w:rPr>
            <w:rStyle w:val="Hyperlink"/>
            <w:rFonts w:cs="Arial"/>
            <w:noProof/>
          </w:rPr>
          <w:t>1.2</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rPr>
          <w:t>The Application</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_Toc427676493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3</w:t>
        </w:r>
        <w:r w:rsidR="00FF4699" w:rsidRPr="00910A30">
          <w:rPr>
            <w:rFonts w:ascii="Arial" w:hAnsi="Arial" w:cs="Arial"/>
            <w:noProof/>
            <w:webHidden/>
          </w:rPr>
          <w:fldChar w:fldCharType="end"/>
        </w:r>
      </w:hyperlink>
    </w:p>
    <w:p w14:paraId="44868F18"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494" w:history="1">
        <w:r w:rsidR="00FF4699" w:rsidRPr="00910A30">
          <w:rPr>
            <w:rStyle w:val="Hyperlink"/>
            <w:rFonts w:cs="Arial"/>
            <w:noProof/>
          </w:rPr>
          <w:t>1.3</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rPr>
          <w:t>The current Standard</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_Toc427676494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3</w:t>
        </w:r>
        <w:r w:rsidR="00FF4699" w:rsidRPr="00910A30">
          <w:rPr>
            <w:rFonts w:ascii="Arial" w:hAnsi="Arial" w:cs="Arial"/>
            <w:noProof/>
            <w:webHidden/>
          </w:rPr>
          <w:fldChar w:fldCharType="end"/>
        </w:r>
      </w:hyperlink>
    </w:p>
    <w:p w14:paraId="792C6C4C"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495" w:history="1">
        <w:r w:rsidR="00FF4699" w:rsidRPr="00910A30">
          <w:rPr>
            <w:rStyle w:val="Hyperlink"/>
            <w:rFonts w:cs="Arial"/>
            <w:noProof/>
          </w:rPr>
          <w:t>1.3.1</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International and national Standards</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_Toc427676495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4</w:t>
        </w:r>
        <w:r w:rsidR="00FF4699" w:rsidRPr="00910A30">
          <w:rPr>
            <w:rFonts w:ascii="Arial" w:hAnsi="Arial" w:cs="Arial"/>
            <w:noProof/>
            <w:webHidden/>
          </w:rPr>
          <w:fldChar w:fldCharType="end"/>
        </w:r>
      </w:hyperlink>
    </w:p>
    <w:p w14:paraId="3843A4FC"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496" w:history="1">
        <w:r w:rsidR="00FF4699" w:rsidRPr="00910A30">
          <w:rPr>
            <w:rStyle w:val="Hyperlink"/>
            <w:rFonts w:cs="Arial"/>
            <w:noProof/>
            <w:u w:color="FFFF00"/>
          </w:rPr>
          <w:t>1.4</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u w:color="FFFF00"/>
          </w:rPr>
          <w:t>Reasons for accepting the Application</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_Toc427676496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4</w:t>
        </w:r>
        <w:r w:rsidR="00FF4699" w:rsidRPr="00910A30">
          <w:rPr>
            <w:rFonts w:ascii="Arial" w:hAnsi="Arial" w:cs="Arial"/>
            <w:noProof/>
            <w:webHidden/>
          </w:rPr>
          <w:fldChar w:fldCharType="end"/>
        </w:r>
      </w:hyperlink>
    </w:p>
    <w:p w14:paraId="161D1750"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497" w:history="1">
        <w:r w:rsidR="00FF4699" w:rsidRPr="00910A30">
          <w:rPr>
            <w:rStyle w:val="Hyperlink"/>
            <w:rFonts w:cs="Arial"/>
            <w:noProof/>
          </w:rPr>
          <w:t>1.5</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rPr>
          <w:t>Procedure for assessment</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_Toc427676497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5</w:t>
        </w:r>
        <w:r w:rsidR="00FF4699" w:rsidRPr="00910A30">
          <w:rPr>
            <w:rFonts w:ascii="Arial" w:hAnsi="Arial" w:cs="Arial"/>
            <w:noProof/>
            <w:webHidden/>
          </w:rPr>
          <w:fldChar w:fldCharType="end"/>
        </w:r>
      </w:hyperlink>
    </w:p>
    <w:p w14:paraId="751421A4" w14:textId="77777777" w:rsidR="00FF4699" w:rsidRPr="00910A30" w:rsidRDefault="00910A30">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27676498" w:history="1">
        <w:r w:rsidR="00FF4699" w:rsidRPr="00910A30">
          <w:rPr>
            <w:rStyle w:val="Hyperlink"/>
            <w:rFonts w:cs="Arial"/>
            <w:noProof/>
          </w:rPr>
          <w:t>2</w:t>
        </w:r>
        <w:r w:rsidR="00FF4699" w:rsidRPr="00910A30">
          <w:rPr>
            <w:rFonts w:ascii="Arial" w:eastAsiaTheme="minorEastAsia" w:hAnsi="Arial" w:cs="Arial"/>
            <w:b w:val="0"/>
            <w:bCs w:val="0"/>
            <w:caps w:val="0"/>
            <w:noProof/>
            <w:sz w:val="22"/>
            <w:szCs w:val="22"/>
            <w:lang w:val="en-NZ" w:eastAsia="en-NZ" w:bidi="ar-SA"/>
          </w:rPr>
          <w:tab/>
        </w:r>
        <w:r w:rsidR="00FF4699" w:rsidRPr="00910A30">
          <w:rPr>
            <w:rStyle w:val="Hyperlink"/>
            <w:rFonts w:cs="Arial"/>
            <w:noProof/>
          </w:rPr>
          <w:t>Summary of the assessment</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_Toc427676498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5</w:t>
        </w:r>
        <w:r w:rsidR="00FF4699" w:rsidRPr="00910A30">
          <w:rPr>
            <w:rFonts w:ascii="Arial" w:hAnsi="Arial" w:cs="Arial"/>
            <w:noProof/>
            <w:webHidden/>
          </w:rPr>
          <w:fldChar w:fldCharType="end"/>
        </w:r>
      </w:hyperlink>
    </w:p>
    <w:p w14:paraId="205B78A8"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499" w:history="1">
        <w:r w:rsidR="00FF4699" w:rsidRPr="00910A30">
          <w:rPr>
            <w:rStyle w:val="Hyperlink"/>
            <w:rFonts w:cs="Arial"/>
            <w:noProof/>
          </w:rPr>
          <w:t>2.1</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rPr>
          <w:t>Risk assessment</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_Toc427676499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5</w:t>
        </w:r>
        <w:r w:rsidR="00FF4699" w:rsidRPr="00910A30">
          <w:rPr>
            <w:rFonts w:ascii="Arial" w:hAnsi="Arial" w:cs="Arial"/>
            <w:noProof/>
            <w:webHidden/>
          </w:rPr>
          <w:fldChar w:fldCharType="end"/>
        </w:r>
      </w:hyperlink>
    </w:p>
    <w:p w14:paraId="7030840B"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500" w:history="1">
        <w:r w:rsidR="00FF4699" w:rsidRPr="00910A30">
          <w:rPr>
            <w:rStyle w:val="Hyperlink"/>
            <w:rFonts w:cs="Arial"/>
            <w:noProof/>
          </w:rPr>
          <w:t>2.2</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rPr>
          <w:t>Risk management</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_Toc427676500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5</w:t>
        </w:r>
        <w:r w:rsidR="00FF4699" w:rsidRPr="00910A30">
          <w:rPr>
            <w:rFonts w:ascii="Arial" w:hAnsi="Arial" w:cs="Arial"/>
            <w:noProof/>
            <w:webHidden/>
          </w:rPr>
          <w:fldChar w:fldCharType="end"/>
        </w:r>
      </w:hyperlink>
    </w:p>
    <w:p w14:paraId="104690FC"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01" w:history="1">
        <w:r w:rsidR="00FF4699" w:rsidRPr="00910A30">
          <w:rPr>
            <w:rStyle w:val="Hyperlink"/>
            <w:rFonts w:cs="Arial"/>
            <w:noProof/>
          </w:rPr>
          <w:t>2.2.1</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Levels of addition</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_Toc427676501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5</w:t>
        </w:r>
        <w:r w:rsidR="00FF4699" w:rsidRPr="00910A30">
          <w:rPr>
            <w:rFonts w:ascii="Arial" w:hAnsi="Arial" w:cs="Arial"/>
            <w:noProof/>
            <w:webHidden/>
          </w:rPr>
          <w:fldChar w:fldCharType="end"/>
        </w:r>
      </w:hyperlink>
    </w:p>
    <w:p w14:paraId="7E34D81A"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02" w:history="1">
        <w:r w:rsidR="00FF4699" w:rsidRPr="00910A30">
          <w:rPr>
            <w:rStyle w:val="Hyperlink"/>
            <w:rFonts w:cs="Arial"/>
            <w:noProof/>
          </w:rPr>
          <w:t>2.2.2</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Revised MPL and bubble gum</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_Toc427676502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6</w:t>
        </w:r>
        <w:r w:rsidR="00FF4699" w:rsidRPr="00910A30">
          <w:rPr>
            <w:rFonts w:ascii="Arial" w:hAnsi="Arial" w:cs="Arial"/>
            <w:noProof/>
            <w:webHidden/>
          </w:rPr>
          <w:fldChar w:fldCharType="end"/>
        </w:r>
      </w:hyperlink>
    </w:p>
    <w:p w14:paraId="4C53655D"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03" w:history="1">
        <w:r w:rsidR="00FF4699" w:rsidRPr="00910A30">
          <w:rPr>
            <w:rStyle w:val="Hyperlink"/>
            <w:rFonts w:cs="Arial"/>
            <w:noProof/>
          </w:rPr>
          <w:t>2.2.3</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Specification</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_Toc427676503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6</w:t>
        </w:r>
        <w:r w:rsidR="00FF4699" w:rsidRPr="00910A30">
          <w:rPr>
            <w:rFonts w:ascii="Arial" w:hAnsi="Arial" w:cs="Arial"/>
            <w:noProof/>
            <w:webHidden/>
          </w:rPr>
          <w:fldChar w:fldCharType="end"/>
        </w:r>
      </w:hyperlink>
    </w:p>
    <w:p w14:paraId="36648DA8"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04" w:history="1">
        <w:r w:rsidR="00FF4699" w:rsidRPr="00910A30">
          <w:rPr>
            <w:rStyle w:val="Hyperlink"/>
            <w:rFonts w:cs="Arial"/>
            <w:noProof/>
          </w:rPr>
          <w:t>2.2.4</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Analytical methods</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_Toc427676504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6</w:t>
        </w:r>
        <w:r w:rsidR="00FF4699" w:rsidRPr="00910A30">
          <w:rPr>
            <w:rFonts w:ascii="Arial" w:hAnsi="Arial" w:cs="Arial"/>
            <w:noProof/>
            <w:webHidden/>
          </w:rPr>
          <w:fldChar w:fldCharType="end"/>
        </w:r>
      </w:hyperlink>
    </w:p>
    <w:p w14:paraId="4A9B3CF3"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05" w:history="1">
        <w:r w:rsidR="00FF4699" w:rsidRPr="00910A30">
          <w:rPr>
            <w:rStyle w:val="Hyperlink"/>
            <w:rFonts w:cs="Arial"/>
            <w:noProof/>
          </w:rPr>
          <w:t>2.2.5</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Labelling</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_Toc427676505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6</w:t>
        </w:r>
        <w:r w:rsidR="00FF4699" w:rsidRPr="00910A30">
          <w:rPr>
            <w:rFonts w:ascii="Arial" w:hAnsi="Arial" w:cs="Arial"/>
            <w:noProof/>
            <w:webHidden/>
          </w:rPr>
          <w:fldChar w:fldCharType="end"/>
        </w:r>
      </w:hyperlink>
    </w:p>
    <w:p w14:paraId="407E04BA"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506" w:history="1">
        <w:r w:rsidR="00FF4699" w:rsidRPr="00910A30">
          <w:rPr>
            <w:rStyle w:val="Hyperlink"/>
            <w:rFonts w:cs="Arial"/>
            <w:noProof/>
          </w:rPr>
          <w:t>2.3</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rPr>
          <w:t>FSANZ Act assessment requirements</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_Toc427676506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6</w:t>
        </w:r>
        <w:r w:rsidR="00FF4699" w:rsidRPr="00910A30">
          <w:rPr>
            <w:rFonts w:ascii="Arial" w:hAnsi="Arial" w:cs="Arial"/>
            <w:noProof/>
            <w:webHidden/>
          </w:rPr>
          <w:fldChar w:fldCharType="end"/>
        </w:r>
      </w:hyperlink>
    </w:p>
    <w:p w14:paraId="3D88343A"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07" w:history="1">
        <w:r w:rsidR="00FF4699" w:rsidRPr="00910A30">
          <w:rPr>
            <w:rStyle w:val="Hyperlink"/>
            <w:rFonts w:cs="Arial"/>
            <w:noProof/>
          </w:rPr>
          <w:t>2.3.1</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Section 29</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_Toc427676507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6</w:t>
        </w:r>
        <w:r w:rsidR="00FF4699" w:rsidRPr="00910A30">
          <w:rPr>
            <w:rFonts w:ascii="Arial" w:hAnsi="Arial" w:cs="Arial"/>
            <w:noProof/>
            <w:webHidden/>
          </w:rPr>
          <w:fldChar w:fldCharType="end"/>
        </w:r>
      </w:hyperlink>
    </w:p>
    <w:p w14:paraId="2D487B0D" w14:textId="77777777" w:rsidR="00FF4699" w:rsidRPr="00910A30" w:rsidRDefault="00910A30">
      <w:pPr>
        <w:pStyle w:val="TOC3"/>
        <w:tabs>
          <w:tab w:val="left" w:pos="1320"/>
          <w:tab w:val="right" w:leader="dot" w:pos="9060"/>
        </w:tabs>
        <w:rPr>
          <w:rFonts w:ascii="Arial" w:eastAsiaTheme="minorEastAsia" w:hAnsi="Arial" w:cs="Arial"/>
          <w:i w:val="0"/>
          <w:iCs w:val="0"/>
          <w:noProof/>
          <w:sz w:val="22"/>
          <w:szCs w:val="22"/>
          <w:lang w:val="en-NZ" w:eastAsia="en-NZ" w:bidi="ar-SA"/>
        </w:rPr>
      </w:pPr>
      <w:hyperlink w:anchor="_Toc427676508" w:history="1">
        <w:r w:rsidR="00FF4699" w:rsidRPr="00910A30">
          <w:rPr>
            <w:rStyle w:val="Hyperlink"/>
            <w:rFonts w:cs="Arial"/>
            <w:noProof/>
          </w:rPr>
          <w:t>2.3.2.</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Subsection 18(1)</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_Toc427676508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8</w:t>
        </w:r>
        <w:r w:rsidR="00FF4699" w:rsidRPr="00910A30">
          <w:rPr>
            <w:rFonts w:ascii="Arial" w:hAnsi="Arial" w:cs="Arial"/>
            <w:noProof/>
            <w:webHidden/>
          </w:rPr>
          <w:fldChar w:fldCharType="end"/>
        </w:r>
      </w:hyperlink>
    </w:p>
    <w:p w14:paraId="50A55D5D"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09" w:history="1">
        <w:r w:rsidR="00FF4699" w:rsidRPr="00910A30">
          <w:rPr>
            <w:rStyle w:val="Hyperlink"/>
            <w:rFonts w:cs="Arial"/>
            <w:noProof/>
          </w:rPr>
          <w:t>2.3.3</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Subsection 18(2) considerations</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_Toc427676509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8</w:t>
        </w:r>
        <w:r w:rsidR="00FF4699" w:rsidRPr="00910A30">
          <w:rPr>
            <w:rFonts w:ascii="Arial" w:hAnsi="Arial" w:cs="Arial"/>
            <w:noProof/>
            <w:webHidden/>
          </w:rPr>
          <w:fldChar w:fldCharType="end"/>
        </w:r>
      </w:hyperlink>
    </w:p>
    <w:p w14:paraId="72FBA91A" w14:textId="77777777" w:rsidR="00FF4699" w:rsidRPr="00910A30" w:rsidRDefault="00910A30">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27676510" w:history="1">
        <w:r w:rsidR="00FF4699" w:rsidRPr="00910A30">
          <w:rPr>
            <w:rStyle w:val="Hyperlink"/>
            <w:rFonts w:cs="Arial"/>
            <w:noProof/>
          </w:rPr>
          <w:t>2.4</w:t>
        </w:r>
        <w:r w:rsidR="00FF4699" w:rsidRPr="00910A30">
          <w:rPr>
            <w:rFonts w:ascii="Arial" w:eastAsiaTheme="minorEastAsia" w:hAnsi="Arial" w:cs="Arial"/>
            <w:smallCaps w:val="0"/>
            <w:noProof/>
            <w:sz w:val="22"/>
            <w:szCs w:val="22"/>
            <w:lang w:val="en-NZ" w:eastAsia="en-NZ" w:bidi="ar-SA"/>
          </w:rPr>
          <w:tab/>
        </w:r>
        <w:r w:rsidR="00FF4699" w:rsidRPr="00910A30">
          <w:rPr>
            <w:rStyle w:val="Hyperlink"/>
            <w:rFonts w:cs="Arial"/>
            <w:noProof/>
          </w:rPr>
          <w:t>Risk communication</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_Toc427676510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10</w:t>
        </w:r>
        <w:r w:rsidR="00FF4699" w:rsidRPr="00910A30">
          <w:rPr>
            <w:rFonts w:ascii="Arial" w:hAnsi="Arial" w:cs="Arial"/>
            <w:noProof/>
            <w:webHidden/>
          </w:rPr>
          <w:fldChar w:fldCharType="end"/>
        </w:r>
      </w:hyperlink>
    </w:p>
    <w:p w14:paraId="3B932F00"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11" w:history="1">
        <w:r w:rsidR="00FF4699" w:rsidRPr="00910A30">
          <w:rPr>
            <w:rStyle w:val="Hyperlink"/>
            <w:rFonts w:cs="Arial"/>
            <w:noProof/>
          </w:rPr>
          <w:t>2.4.1</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Consultation</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_Toc427676511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10</w:t>
        </w:r>
        <w:r w:rsidR="00FF4699" w:rsidRPr="00910A30">
          <w:rPr>
            <w:rFonts w:ascii="Arial" w:hAnsi="Arial" w:cs="Arial"/>
            <w:noProof/>
            <w:webHidden/>
          </w:rPr>
          <w:fldChar w:fldCharType="end"/>
        </w:r>
      </w:hyperlink>
    </w:p>
    <w:p w14:paraId="187EE3B3" w14:textId="77777777" w:rsidR="00FF4699" w:rsidRPr="00910A30" w:rsidRDefault="00910A30">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27676512" w:history="1">
        <w:r w:rsidR="00FF4699" w:rsidRPr="00910A30">
          <w:rPr>
            <w:rStyle w:val="Hyperlink"/>
            <w:rFonts w:cs="Arial"/>
            <w:noProof/>
          </w:rPr>
          <w:t>2.4.2</w:t>
        </w:r>
        <w:r w:rsidR="00FF4699" w:rsidRPr="00910A30">
          <w:rPr>
            <w:rFonts w:ascii="Arial" w:eastAsiaTheme="minorEastAsia" w:hAnsi="Arial" w:cs="Arial"/>
            <w:i w:val="0"/>
            <w:iCs w:val="0"/>
            <w:noProof/>
            <w:sz w:val="22"/>
            <w:szCs w:val="22"/>
            <w:lang w:val="en-NZ" w:eastAsia="en-NZ" w:bidi="ar-SA"/>
          </w:rPr>
          <w:tab/>
        </w:r>
        <w:r w:rsidR="00FF4699" w:rsidRPr="00910A30">
          <w:rPr>
            <w:rStyle w:val="Hyperlink"/>
            <w:rFonts w:cs="Arial"/>
            <w:noProof/>
          </w:rPr>
          <w:t>World Trade Organization (WTO)</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_Toc427676512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11</w:t>
        </w:r>
        <w:r w:rsidR="00FF4699" w:rsidRPr="00910A30">
          <w:rPr>
            <w:rFonts w:ascii="Arial" w:hAnsi="Arial" w:cs="Arial"/>
            <w:noProof/>
            <w:webHidden/>
          </w:rPr>
          <w:fldChar w:fldCharType="end"/>
        </w:r>
      </w:hyperlink>
    </w:p>
    <w:p w14:paraId="56F2158E" w14:textId="77777777" w:rsidR="00FF4699" w:rsidRPr="00910A30" w:rsidRDefault="00910A30">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27676513" w:history="1">
        <w:r w:rsidR="00FF4699" w:rsidRPr="00910A30">
          <w:rPr>
            <w:rStyle w:val="Hyperlink"/>
            <w:rFonts w:cs="Arial"/>
            <w:noProof/>
          </w:rPr>
          <w:t>3</w:t>
        </w:r>
        <w:r w:rsidR="00FF4699" w:rsidRPr="00910A30">
          <w:rPr>
            <w:rFonts w:ascii="Arial" w:eastAsiaTheme="minorEastAsia" w:hAnsi="Arial" w:cs="Arial"/>
            <w:b w:val="0"/>
            <w:bCs w:val="0"/>
            <w:caps w:val="0"/>
            <w:noProof/>
            <w:sz w:val="22"/>
            <w:szCs w:val="22"/>
            <w:lang w:val="en-NZ" w:eastAsia="en-NZ" w:bidi="ar-SA"/>
          </w:rPr>
          <w:tab/>
        </w:r>
        <w:r w:rsidR="00FF4699" w:rsidRPr="00910A30">
          <w:rPr>
            <w:rStyle w:val="Hyperlink"/>
            <w:rFonts w:cs="Arial"/>
            <w:noProof/>
          </w:rPr>
          <w:t>Draft variation</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_Toc427676513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11</w:t>
        </w:r>
        <w:r w:rsidR="00FF4699" w:rsidRPr="00910A30">
          <w:rPr>
            <w:rFonts w:ascii="Arial" w:hAnsi="Arial" w:cs="Arial"/>
            <w:noProof/>
            <w:webHidden/>
          </w:rPr>
          <w:fldChar w:fldCharType="end"/>
        </w:r>
      </w:hyperlink>
    </w:p>
    <w:p w14:paraId="2031C606" w14:textId="77777777" w:rsidR="00FF4699" w:rsidRPr="00910A30" w:rsidRDefault="00910A30">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27676514" w:history="1">
        <w:r w:rsidR="00FF4699" w:rsidRPr="00910A30">
          <w:rPr>
            <w:rStyle w:val="Hyperlink"/>
            <w:rFonts w:cs="Arial"/>
            <w:noProof/>
          </w:rPr>
          <w:t>4</w:t>
        </w:r>
        <w:r w:rsidR="00FF4699" w:rsidRPr="00910A30">
          <w:rPr>
            <w:rFonts w:ascii="Arial" w:eastAsiaTheme="minorEastAsia" w:hAnsi="Arial" w:cs="Arial"/>
            <w:b w:val="0"/>
            <w:bCs w:val="0"/>
            <w:caps w:val="0"/>
            <w:noProof/>
            <w:sz w:val="22"/>
            <w:szCs w:val="22"/>
            <w:lang w:val="en-NZ" w:eastAsia="en-NZ" w:bidi="ar-SA"/>
          </w:rPr>
          <w:tab/>
        </w:r>
        <w:r w:rsidR="00FF4699" w:rsidRPr="00910A30">
          <w:rPr>
            <w:rStyle w:val="Hyperlink"/>
            <w:rFonts w:cs="Arial"/>
            <w:noProof/>
          </w:rPr>
          <w:t>References</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_Toc427676514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11</w:t>
        </w:r>
        <w:r w:rsidR="00FF4699" w:rsidRPr="00910A30">
          <w:rPr>
            <w:rFonts w:ascii="Arial" w:hAnsi="Arial" w:cs="Arial"/>
            <w:noProof/>
            <w:webHidden/>
          </w:rPr>
          <w:fldChar w:fldCharType="end"/>
        </w:r>
      </w:hyperlink>
    </w:p>
    <w:p w14:paraId="30869B10" w14:textId="77777777" w:rsidR="00FF4699" w:rsidRPr="00910A30" w:rsidRDefault="00910A30">
      <w:pPr>
        <w:pStyle w:val="TOC2"/>
        <w:tabs>
          <w:tab w:val="right" w:leader="dot" w:pos="9060"/>
        </w:tabs>
        <w:rPr>
          <w:rFonts w:ascii="Arial" w:eastAsiaTheme="minorEastAsia" w:hAnsi="Arial" w:cs="Arial"/>
          <w:smallCaps w:val="0"/>
          <w:noProof/>
          <w:sz w:val="22"/>
          <w:szCs w:val="22"/>
          <w:lang w:val="en-NZ" w:eastAsia="en-NZ" w:bidi="ar-SA"/>
        </w:rPr>
      </w:pPr>
      <w:hyperlink w:anchor="_Toc427676515" w:history="1">
        <w:r w:rsidR="00FF4699" w:rsidRPr="00910A30">
          <w:rPr>
            <w:rStyle w:val="Hyperlink"/>
            <w:rFonts w:cs="Arial"/>
            <w:noProof/>
          </w:rPr>
          <w:t xml:space="preserve">Attachment A – Draft variation to the revised </w:t>
        </w:r>
        <w:r w:rsidR="00FF4699" w:rsidRPr="00910A30">
          <w:rPr>
            <w:rStyle w:val="Hyperlink"/>
            <w:rFonts w:cs="Arial"/>
            <w:i/>
            <w:noProof/>
          </w:rPr>
          <w:t xml:space="preserve">Australia New Zealand Food Standards Code </w:t>
        </w:r>
        <w:r w:rsidR="00FF4699" w:rsidRPr="00910A30">
          <w:rPr>
            <w:rStyle w:val="Hyperlink"/>
            <w:rFonts w:cs="Arial"/>
            <w:noProof/>
          </w:rPr>
          <w:t>(commencing 1 March 2016)</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_Toc427676515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13</w:t>
        </w:r>
        <w:r w:rsidR="00FF4699" w:rsidRPr="00910A30">
          <w:rPr>
            <w:rFonts w:ascii="Arial" w:hAnsi="Arial" w:cs="Arial"/>
            <w:noProof/>
            <w:webHidden/>
          </w:rPr>
          <w:fldChar w:fldCharType="end"/>
        </w:r>
      </w:hyperlink>
    </w:p>
    <w:p w14:paraId="36F78835" w14:textId="77777777" w:rsidR="00FF4699" w:rsidRPr="00910A30" w:rsidRDefault="00910A30">
      <w:pPr>
        <w:pStyle w:val="TOC2"/>
        <w:tabs>
          <w:tab w:val="right" w:leader="dot" w:pos="9060"/>
        </w:tabs>
        <w:rPr>
          <w:rFonts w:ascii="Arial" w:eastAsiaTheme="minorEastAsia" w:hAnsi="Arial" w:cs="Arial"/>
          <w:smallCaps w:val="0"/>
          <w:noProof/>
          <w:sz w:val="22"/>
          <w:szCs w:val="22"/>
          <w:lang w:val="en-NZ" w:eastAsia="en-NZ" w:bidi="ar-SA"/>
        </w:rPr>
      </w:pPr>
      <w:hyperlink w:anchor="_Toc427676516" w:history="1">
        <w:r w:rsidR="00FF4699" w:rsidRPr="00910A30">
          <w:rPr>
            <w:rStyle w:val="Hyperlink"/>
            <w:rFonts w:cs="Arial"/>
            <w:noProof/>
          </w:rPr>
          <w:t>Attachment B – Draft Explanatory Statement</w:t>
        </w:r>
        <w:r w:rsidR="00FF4699" w:rsidRPr="00910A30">
          <w:rPr>
            <w:rFonts w:ascii="Arial" w:hAnsi="Arial" w:cs="Arial"/>
            <w:noProof/>
            <w:webHidden/>
          </w:rPr>
          <w:tab/>
        </w:r>
        <w:r w:rsidR="00FF4699" w:rsidRPr="00910A30">
          <w:rPr>
            <w:rFonts w:ascii="Arial" w:hAnsi="Arial" w:cs="Arial"/>
            <w:noProof/>
            <w:webHidden/>
          </w:rPr>
          <w:fldChar w:fldCharType="begin"/>
        </w:r>
        <w:r w:rsidR="00FF4699" w:rsidRPr="00910A30">
          <w:rPr>
            <w:rFonts w:ascii="Arial" w:hAnsi="Arial" w:cs="Arial"/>
            <w:noProof/>
            <w:webHidden/>
          </w:rPr>
          <w:instrText xml:space="preserve"> PAGEREF _Toc427676516 \h </w:instrText>
        </w:r>
        <w:r w:rsidR="00FF4699" w:rsidRPr="00910A30">
          <w:rPr>
            <w:rFonts w:ascii="Arial" w:hAnsi="Arial" w:cs="Arial"/>
            <w:noProof/>
            <w:webHidden/>
          </w:rPr>
        </w:r>
        <w:r w:rsidR="00FF4699" w:rsidRPr="00910A30">
          <w:rPr>
            <w:rFonts w:ascii="Arial" w:hAnsi="Arial" w:cs="Arial"/>
            <w:noProof/>
            <w:webHidden/>
          </w:rPr>
          <w:fldChar w:fldCharType="separate"/>
        </w:r>
        <w:r w:rsidR="00FF4699" w:rsidRPr="00910A30">
          <w:rPr>
            <w:rFonts w:ascii="Arial" w:hAnsi="Arial" w:cs="Arial"/>
            <w:noProof/>
            <w:webHidden/>
          </w:rPr>
          <w:t>15</w:t>
        </w:r>
        <w:r w:rsidR="00FF4699" w:rsidRPr="00910A30">
          <w:rPr>
            <w:rFonts w:ascii="Arial" w:hAnsi="Arial" w:cs="Arial"/>
            <w:noProof/>
            <w:webHidden/>
          </w:rPr>
          <w:fldChar w:fldCharType="end"/>
        </w:r>
      </w:hyperlink>
    </w:p>
    <w:p w14:paraId="658A83DF" w14:textId="77777777" w:rsidR="00051ED9" w:rsidRPr="0059227F" w:rsidRDefault="00051ED9" w:rsidP="00051ED9">
      <w:pPr>
        <w:rPr>
          <w:rFonts w:cs="Arial"/>
        </w:rPr>
      </w:pPr>
      <w:r w:rsidRPr="00910A30">
        <w:rPr>
          <w:rFonts w:cs="Arial"/>
        </w:rPr>
        <w:fldChar w:fldCharType="end"/>
      </w:r>
    </w:p>
    <w:p w14:paraId="658A83E0" w14:textId="77777777" w:rsidR="00D73931" w:rsidRPr="00E203C2" w:rsidRDefault="00D73931" w:rsidP="00051ED9"/>
    <w:p w14:paraId="658A83E1" w14:textId="0EAE2A8D" w:rsidR="0037520F" w:rsidRPr="008844E4" w:rsidRDefault="0037520F" w:rsidP="0037520F">
      <w:pPr>
        <w:rPr>
          <w:b/>
          <w:szCs w:val="22"/>
        </w:rPr>
      </w:pPr>
      <w:r w:rsidRPr="008844E4">
        <w:rPr>
          <w:b/>
          <w:szCs w:val="22"/>
        </w:rPr>
        <w:t>Supporting document</w:t>
      </w:r>
      <w:r w:rsidR="00815005">
        <w:rPr>
          <w:b/>
          <w:szCs w:val="22"/>
        </w:rPr>
        <w:t>s</w:t>
      </w:r>
    </w:p>
    <w:p w14:paraId="658A83E2" w14:textId="77777777" w:rsidR="0037520F" w:rsidRPr="0089264A" w:rsidRDefault="0037520F" w:rsidP="0037520F">
      <w:pPr>
        <w:rPr>
          <w:szCs w:val="22"/>
        </w:rPr>
      </w:pPr>
    </w:p>
    <w:p w14:paraId="658A83E3" w14:textId="45DD27B6" w:rsidR="0037520F" w:rsidRDefault="0037520F" w:rsidP="0037520F">
      <w:pPr>
        <w:rPr>
          <w:szCs w:val="22"/>
        </w:rPr>
      </w:pPr>
      <w:r w:rsidRPr="0089264A">
        <w:rPr>
          <w:szCs w:val="22"/>
        </w:rPr>
        <w:t xml:space="preserve">The following </w:t>
      </w:r>
      <w:r>
        <w:rPr>
          <w:szCs w:val="22"/>
        </w:rPr>
        <w:t>document</w:t>
      </w:r>
      <w:r w:rsidRPr="0089264A">
        <w:rPr>
          <w:szCs w:val="22"/>
        </w:rPr>
        <w:t xml:space="preserve"> </w:t>
      </w:r>
      <w:r w:rsidR="00681754">
        <w:rPr>
          <w:szCs w:val="22"/>
        </w:rPr>
        <w:t>which informed the assessment of this</w:t>
      </w:r>
      <w:r w:rsidR="00681754" w:rsidRPr="00A30C2E">
        <w:rPr>
          <w:szCs w:val="22"/>
        </w:rPr>
        <w:t xml:space="preserve"> Application</w:t>
      </w:r>
      <w:r w:rsidRPr="00A30C2E">
        <w:rPr>
          <w:szCs w:val="22"/>
        </w:rPr>
        <w:t xml:space="preserve"> </w:t>
      </w:r>
      <w:r w:rsidR="00815005">
        <w:rPr>
          <w:szCs w:val="22"/>
        </w:rPr>
        <w:t>are</w:t>
      </w:r>
      <w:r w:rsidRPr="0089264A">
        <w:rPr>
          <w:szCs w:val="22"/>
        </w:rPr>
        <w:t xml:space="preserve"> available on the FSANZ website </w:t>
      </w:r>
      <w:r w:rsidR="00084D08">
        <w:rPr>
          <w:szCs w:val="22"/>
        </w:rPr>
        <w:t xml:space="preserve">at </w:t>
      </w:r>
      <w:hyperlink r:id="rId24" w:history="1">
        <w:r w:rsidR="00084D08" w:rsidRPr="002B5D75">
          <w:rPr>
            <w:rStyle w:val="Hyperlink"/>
            <w:szCs w:val="22"/>
          </w:rPr>
          <w:t>http://www.foodstandards.govt.nz/code/applications/Pages/A1100MaxPermit-Ace-KinChewing-Gum.aspx</w:t>
        </w:r>
      </w:hyperlink>
    </w:p>
    <w:p w14:paraId="658A83E4" w14:textId="77777777" w:rsidR="0089264A" w:rsidRPr="0089264A" w:rsidRDefault="0089264A" w:rsidP="0089264A">
      <w:pPr>
        <w:rPr>
          <w:szCs w:val="22"/>
        </w:rPr>
      </w:pPr>
    </w:p>
    <w:p w14:paraId="533A8131" w14:textId="0F3A936F" w:rsidR="00EF6CA0" w:rsidRPr="00EF6CA0" w:rsidRDefault="00EF6CA0" w:rsidP="00EF6CA0">
      <w:pPr>
        <w:ind w:left="1134" w:hanging="1134"/>
      </w:pPr>
      <w:r>
        <w:t>SD1</w:t>
      </w:r>
      <w:r>
        <w:tab/>
      </w:r>
      <w:r w:rsidRPr="00EF6CA0">
        <w:t xml:space="preserve">Examples of how the MPL and unity principle affect the level of Ace K </w:t>
      </w:r>
      <w:r>
        <w:t>w</w:t>
      </w:r>
      <w:r w:rsidRPr="00EF6CA0">
        <w:t>h</w:t>
      </w:r>
      <w:r w:rsidR="00910A30">
        <w:t>ich can be added to chewing gum</w:t>
      </w:r>
    </w:p>
    <w:p w14:paraId="658A83E5" w14:textId="10B230F2" w:rsidR="0089264A" w:rsidRPr="009E05A0" w:rsidRDefault="0089264A" w:rsidP="003A7725">
      <w:pPr>
        <w:ind w:left="1134" w:hanging="1134"/>
      </w:pPr>
      <w:r w:rsidRPr="009E05A0">
        <w:t>SD</w:t>
      </w:r>
      <w:r w:rsidR="00EF6CA0">
        <w:t>2</w:t>
      </w:r>
      <w:r w:rsidRPr="009E05A0">
        <w:tab/>
      </w:r>
      <w:r w:rsidR="00592CAB">
        <w:t xml:space="preserve">Risk and Technical Assessment Report </w:t>
      </w:r>
    </w:p>
    <w:p w14:paraId="658A83E6" w14:textId="77777777" w:rsidR="00051ED9" w:rsidRDefault="00562917" w:rsidP="00772BDC">
      <w:r w:rsidRPr="00E203C2">
        <w:br w:type="page"/>
      </w:r>
    </w:p>
    <w:p w14:paraId="658A83E7" w14:textId="77777777" w:rsidR="00E063C6" w:rsidRDefault="00F33BB8" w:rsidP="000A5DF8">
      <w:pPr>
        <w:pStyle w:val="Heading1"/>
      </w:pPr>
      <w:bookmarkStart w:id="0" w:name="_Toc286391001"/>
      <w:bookmarkStart w:id="1" w:name="_Toc300933414"/>
      <w:bookmarkStart w:id="2" w:name="_Toc427676490"/>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7CDFA8A7" w14:textId="58CD7E9A" w:rsidR="00C82394" w:rsidRDefault="00BF4F8D" w:rsidP="001A5FC7">
      <w:bookmarkStart w:id="8" w:name="_Toc286391003"/>
      <w:r>
        <w:t>The Wm. Wrigley Jr. Company, based in Australia</w:t>
      </w:r>
      <w:r w:rsidR="00BF29CF">
        <w:t>,</w:t>
      </w:r>
      <w:r>
        <w:t xml:space="preserve"> submitted an </w:t>
      </w:r>
      <w:r w:rsidR="001A5FC7" w:rsidRPr="00AA26C8">
        <w:t>Application</w:t>
      </w:r>
      <w:r>
        <w:t xml:space="preserve"> seeking</w:t>
      </w:r>
      <w:r w:rsidR="001A5FC7">
        <w:t xml:space="preserve"> permission to increase the </w:t>
      </w:r>
      <w:r w:rsidR="00C85F3D">
        <w:t>M</w:t>
      </w:r>
      <w:r w:rsidR="00582AF8">
        <w:t>aximum</w:t>
      </w:r>
      <w:r w:rsidR="00C85F3D">
        <w:t xml:space="preserve"> Permitted L</w:t>
      </w:r>
      <w:r w:rsidR="001A5FC7">
        <w:t xml:space="preserve">evel </w:t>
      </w:r>
      <w:r w:rsidR="00BF29CF">
        <w:t xml:space="preserve">(MPL) </w:t>
      </w:r>
      <w:r w:rsidR="00144844">
        <w:t xml:space="preserve">of the </w:t>
      </w:r>
      <w:r w:rsidR="00C85F3D">
        <w:t xml:space="preserve">intense sweetener </w:t>
      </w:r>
      <w:r w:rsidR="00144844">
        <w:t xml:space="preserve">food additive </w:t>
      </w:r>
      <w:r w:rsidR="00BF29CF">
        <w:t>a</w:t>
      </w:r>
      <w:r w:rsidR="001A5FC7">
        <w:t>cesulphame potassium</w:t>
      </w:r>
      <w:r w:rsidR="005151BD">
        <w:t xml:space="preserve"> (Ace</w:t>
      </w:r>
      <w:r w:rsidR="002725AA">
        <w:t xml:space="preserve"> </w:t>
      </w:r>
      <w:r w:rsidR="005151BD">
        <w:t>K)</w:t>
      </w:r>
      <w:r w:rsidR="001A5FC7">
        <w:t xml:space="preserve">, in chewing gum to 5000 mg/kg. </w:t>
      </w:r>
      <w:r w:rsidR="00A70261">
        <w:t>Schedule 15</w:t>
      </w:r>
      <w:r w:rsidR="001D7132">
        <w:t xml:space="preserve"> – </w:t>
      </w:r>
      <w:r w:rsidR="00C82394">
        <w:t>Food Additive</w:t>
      </w:r>
      <w:r w:rsidR="009F5901">
        <w:t>s,</w:t>
      </w:r>
      <w:r w:rsidR="00C82394">
        <w:t xml:space="preserve"> </w:t>
      </w:r>
      <w:r w:rsidR="005151BD">
        <w:t>of the revised Code</w:t>
      </w:r>
      <w:r w:rsidR="00E408DF">
        <w:rPr>
          <w:rStyle w:val="FootnoteReference"/>
        </w:rPr>
        <w:footnoteReference w:id="1"/>
      </w:r>
      <w:r w:rsidR="005151BD">
        <w:t xml:space="preserve">, </w:t>
      </w:r>
      <w:r w:rsidR="00C82394">
        <w:t xml:space="preserve">permits </w:t>
      </w:r>
      <w:r w:rsidR="005151BD">
        <w:t>Ace</w:t>
      </w:r>
      <w:r w:rsidR="002725AA">
        <w:t xml:space="preserve"> </w:t>
      </w:r>
      <w:r w:rsidR="005151BD">
        <w:t>K</w:t>
      </w:r>
      <w:r w:rsidR="00C82394">
        <w:t xml:space="preserve"> in chewing gum at a maximum level of 2000 mg/kg. </w:t>
      </w:r>
      <w:r w:rsidR="00C82394" w:rsidRPr="000D3D28">
        <w:t xml:space="preserve"> </w:t>
      </w:r>
    </w:p>
    <w:p w14:paraId="1E9F5D1B" w14:textId="77777777" w:rsidR="00C82394" w:rsidRDefault="00C82394" w:rsidP="001A5FC7"/>
    <w:p w14:paraId="3BC75D52" w14:textId="7DE34FDD" w:rsidR="00181B6D" w:rsidRDefault="001A5FC7" w:rsidP="002725AA">
      <w:pPr>
        <w:widowControl/>
      </w:pPr>
      <w:r w:rsidRPr="005654A6">
        <w:t xml:space="preserve">The purpose of the requested </w:t>
      </w:r>
      <w:r w:rsidR="00BF4F8D">
        <w:t xml:space="preserve">increase in </w:t>
      </w:r>
      <w:r w:rsidR="003B0E41">
        <w:t xml:space="preserve">the </w:t>
      </w:r>
      <w:r w:rsidR="00C82394">
        <w:t xml:space="preserve">MPL </w:t>
      </w:r>
      <w:r w:rsidRPr="005654A6">
        <w:t xml:space="preserve">is to </w:t>
      </w:r>
      <w:r w:rsidR="00144844" w:rsidRPr="005654A6">
        <w:t xml:space="preserve">allow the sale of chewing gum in Australia and New Zealand </w:t>
      </w:r>
      <w:r w:rsidR="001C04D4" w:rsidRPr="005654A6">
        <w:t>which has a flavour</w:t>
      </w:r>
      <w:r w:rsidR="00144844" w:rsidRPr="005654A6">
        <w:t xml:space="preserve"> profile</w:t>
      </w:r>
      <w:r w:rsidR="00BF4F8D">
        <w:t xml:space="preserve"> (sweetness</w:t>
      </w:r>
      <w:r w:rsidR="00FF6AD5">
        <w:t>)</w:t>
      </w:r>
      <w:r w:rsidR="00144844" w:rsidRPr="005654A6">
        <w:t xml:space="preserve"> similar to chewing gums available in overseas markets.</w:t>
      </w:r>
      <w:r w:rsidR="001C04D4" w:rsidRPr="005654A6">
        <w:t xml:space="preserve"> </w:t>
      </w:r>
      <w:r w:rsidR="001D7132">
        <w:t xml:space="preserve">Achieving </w:t>
      </w:r>
      <w:r w:rsidR="00020C4E" w:rsidRPr="005654A6">
        <w:t xml:space="preserve">the desired </w:t>
      </w:r>
      <w:r w:rsidR="001C04D4" w:rsidRPr="005654A6">
        <w:t xml:space="preserve">flavour </w:t>
      </w:r>
      <w:r w:rsidR="00144844" w:rsidRPr="005654A6">
        <w:t xml:space="preserve">profile </w:t>
      </w:r>
      <w:r w:rsidR="001D7132">
        <w:t xml:space="preserve">in chewing gum often </w:t>
      </w:r>
      <w:r w:rsidR="00FF6AD5">
        <w:t>involves using</w:t>
      </w:r>
      <w:r w:rsidR="001C04D4" w:rsidRPr="005654A6">
        <w:t xml:space="preserve"> </w:t>
      </w:r>
      <w:r w:rsidR="00144844" w:rsidRPr="005654A6">
        <w:t xml:space="preserve">a blend of </w:t>
      </w:r>
      <w:r w:rsidR="005B2A10">
        <w:t xml:space="preserve">food additives with similar technical functions </w:t>
      </w:r>
      <w:r w:rsidR="001D7132">
        <w:t xml:space="preserve">(sweeteners) </w:t>
      </w:r>
      <w:r w:rsidR="005B2A10">
        <w:t xml:space="preserve">to </w:t>
      </w:r>
      <w:r w:rsidR="00E3401B">
        <w:t>Ace</w:t>
      </w:r>
      <w:r w:rsidR="002725AA">
        <w:t xml:space="preserve"> </w:t>
      </w:r>
      <w:r w:rsidR="00E3401B">
        <w:t>K</w:t>
      </w:r>
      <w:r w:rsidR="00181B6D">
        <w:t xml:space="preserve">. </w:t>
      </w:r>
    </w:p>
    <w:p w14:paraId="0CA80948" w14:textId="77777777" w:rsidR="00614053" w:rsidRDefault="00614053" w:rsidP="002725AA"/>
    <w:p w14:paraId="72B57001" w14:textId="48432F41" w:rsidR="00631BF5" w:rsidRDefault="00582AF8" w:rsidP="002725AA">
      <w:r w:rsidRPr="005654A6">
        <w:t>T</w:t>
      </w:r>
      <w:r w:rsidR="00631BF5" w:rsidRPr="005654A6">
        <w:t xml:space="preserve">he combination of the current MPL </w:t>
      </w:r>
      <w:r w:rsidRPr="005654A6">
        <w:t>for Ace</w:t>
      </w:r>
      <w:r w:rsidR="0053502D">
        <w:t xml:space="preserve"> K </w:t>
      </w:r>
      <w:r w:rsidR="0053502D" w:rsidRPr="005654A6">
        <w:t>in</w:t>
      </w:r>
      <w:r w:rsidR="00BF4F8D">
        <w:t xml:space="preserve"> chewing gum </w:t>
      </w:r>
      <w:r w:rsidR="00631BF5" w:rsidRPr="005654A6">
        <w:t>and the need to adhere to the “unity principle</w:t>
      </w:r>
      <w:r w:rsidR="00E94FFC">
        <w:rPr>
          <w:rStyle w:val="FootnoteReference"/>
        </w:rPr>
        <w:footnoteReference w:id="2"/>
      </w:r>
      <w:r w:rsidR="00631BF5" w:rsidRPr="005654A6">
        <w:t>”</w:t>
      </w:r>
      <w:r w:rsidR="00FF6AD5">
        <w:t xml:space="preserve"> restricts the flavour profile</w:t>
      </w:r>
      <w:r w:rsidR="00631BF5" w:rsidRPr="005654A6">
        <w:t xml:space="preserve"> of chewing gum </w:t>
      </w:r>
      <w:r w:rsidRPr="005654A6">
        <w:t xml:space="preserve">currently </w:t>
      </w:r>
      <w:r w:rsidR="00631BF5" w:rsidRPr="005654A6">
        <w:t xml:space="preserve">available in Australia and New Zealand. </w:t>
      </w:r>
      <w:r w:rsidR="00867F4B">
        <w:t xml:space="preserve">This </w:t>
      </w:r>
      <w:r w:rsidR="003B0E41">
        <w:t>means</w:t>
      </w:r>
      <w:r w:rsidR="00815005">
        <w:t xml:space="preserve"> some</w:t>
      </w:r>
      <w:r w:rsidR="00631BF5" w:rsidRPr="005654A6">
        <w:t xml:space="preserve"> chewing gum</w:t>
      </w:r>
      <w:r w:rsidR="005B2A10">
        <w:t xml:space="preserve"> products available overseas </w:t>
      </w:r>
      <w:r w:rsidR="00815005">
        <w:t>are</w:t>
      </w:r>
      <w:r w:rsidR="003B0E41">
        <w:t xml:space="preserve"> not </w:t>
      </w:r>
      <w:r w:rsidR="005B2A10">
        <w:t xml:space="preserve">available for sale </w:t>
      </w:r>
      <w:r w:rsidR="001C04D4" w:rsidRPr="005654A6">
        <w:t>in Australia or New Zealand</w:t>
      </w:r>
      <w:r w:rsidR="005B2A10">
        <w:t xml:space="preserve">. </w:t>
      </w:r>
      <w:r w:rsidR="00631BF5" w:rsidRPr="005654A6">
        <w:t>Increasing the MPL for Ace</w:t>
      </w:r>
      <w:r w:rsidR="00EF6CA0">
        <w:t xml:space="preserve"> K</w:t>
      </w:r>
      <w:r w:rsidRPr="005654A6">
        <w:t xml:space="preserve"> </w:t>
      </w:r>
      <w:r w:rsidR="00631BF5" w:rsidRPr="005654A6">
        <w:t>in chewing gum to 5000 mg/kg will overco</w:t>
      </w:r>
      <w:r w:rsidRPr="005654A6">
        <w:t>me the issue</w:t>
      </w:r>
      <w:r w:rsidR="005B2A10">
        <w:t xml:space="preserve"> (there is no change to the requirement to adhere to the “unity” principle).</w:t>
      </w:r>
    </w:p>
    <w:p w14:paraId="1E405F53" w14:textId="77777777" w:rsidR="00631BF5" w:rsidRDefault="00631BF5" w:rsidP="001A5FC7">
      <w:pPr>
        <w:rPr>
          <w:highlight w:val="green"/>
        </w:rPr>
      </w:pPr>
    </w:p>
    <w:p w14:paraId="3AFE0F9E" w14:textId="5478AE93" w:rsidR="00E94FFC" w:rsidRDefault="009C3A41" w:rsidP="001A5FC7">
      <w:r>
        <w:t>Ace</w:t>
      </w:r>
      <w:r w:rsidR="00D76B93">
        <w:t xml:space="preserve"> K</w:t>
      </w:r>
      <w:r>
        <w:t xml:space="preserve"> </w:t>
      </w:r>
      <w:r w:rsidRPr="005654A6">
        <w:t>has been</w:t>
      </w:r>
      <w:r w:rsidR="001C04D4" w:rsidRPr="005654A6">
        <w:t xml:space="preserve"> a</w:t>
      </w:r>
      <w:r w:rsidR="008E3577" w:rsidRPr="005654A6">
        <w:t xml:space="preserve"> permitted</w:t>
      </w:r>
      <w:r w:rsidR="000445E5">
        <w:t xml:space="preserve"> food additive </w:t>
      </w:r>
      <w:r w:rsidR="008E3577" w:rsidRPr="005654A6">
        <w:t xml:space="preserve">in the Code, in a range of food categories, </w:t>
      </w:r>
      <w:r w:rsidR="00BF4F8D">
        <w:t xml:space="preserve">at a range of levels, </w:t>
      </w:r>
      <w:r w:rsidR="008E3577" w:rsidRPr="005654A6">
        <w:t>for many years</w:t>
      </w:r>
      <w:r w:rsidR="00167F4D">
        <w:t xml:space="preserve"> and</w:t>
      </w:r>
      <w:r w:rsidR="00E94FFC" w:rsidRPr="005654A6">
        <w:t xml:space="preserve"> is permitted to be added at a maximum level of 5000 mg/kg to chewing gum categories in other countries </w:t>
      </w:r>
      <w:r w:rsidR="00E94FFC">
        <w:t>(</w:t>
      </w:r>
      <w:r w:rsidR="00E94FFC" w:rsidRPr="005654A6">
        <w:t>Canada and Japan)</w:t>
      </w:r>
      <w:r w:rsidR="00167F4D">
        <w:t xml:space="preserve"> </w:t>
      </w:r>
      <w:r w:rsidR="00E94FFC" w:rsidRPr="005654A6">
        <w:t>and in the Codex Alimentarius General Standard for Food Additives (GSFA).</w:t>
      </w:r>
    </w:p>
    <w:p w14:paraId="75E393FC" w14:textId="77777777" w:rsidR="00E94FFC" w:rsidRDefault="00E94FFC" w:rsidP="001A5FC7"/>
    <w:p w14:paraId="1F5A2E25" w14:textId="55A961A5" w:rsidR="00CB251F" w:rsidRDefault="001A5FC7" w:rsidP="001A5FC7">
      <w:pPr>
        <w:rPr>
          <w:rFonts w:cs="Arial"/>
        </w:rPr>
      </w:pPr>
      <w:r w:rsidRPr="005654A6">
        <w:rPr>
          <w:szCs w:val="22"/>
        </w:rPr>
        <w:t xml:space="preserve">FSANZ’s risk assessment concluded that </w:t>
      </w:r>
      <w:r w:rsidR="00665F65" w:rsidRPr="005654A6">
        <w:rPr>
          <w:szCs w:val="22"/>
        </w:rPr>
        <w:t xml:space="preserve">increasing the permitted levels of </w:t>
      </w:r>
      <w:r w:rsidR="0053502D">
        <w:rPr>
          <w:szCs w:val="22"/>
        </w:rPr>
        <w:t>A</w:t>
      </w:r>
      <w:r w:rsidR="00665F65" w:rsidRPr="005654A6">
        <w:rPr>
          <w:szCs w:val="22"/>
        </w:rPr>
        <w:t>c</w:t>
      </w:r>
      <w:r w:rsidR="0053502D">
        <w:rPr>
          <w:szCs w:val="22"/>
        </w:rPr>
        <w:t>e K</w:t>
      </w:r>
      <w:r w:rsidR="00665F65" w:rsidRPr="005654A6">
        <w:rPr>
          <w:szCs w:val="22"/>
        </w:rPr>
        <w:t xml:space="preserve"> </w:t>
      </w:r>
      <w:r w:rsidR="00582AF8" w:rsidRPr="005654A6">
        <w:rPr>
          <w:szCs w:val="22"/>
        </w:rPr>
        <w:t>in</w:t>
      </w:r>
      <w:r w:rsidR="00665F65" w:rsidRPr="005654A6">
        <w:rPr>
          <w:szCs w:val="22"/>
        </w:rPr>
        <w:t xml:space="preserve"> chewing gum </w:t>
      </w:r>
      <w:r w:rsidRPr="005654A6">
        <w:rPr>
          <w:szCs w:val="22"/>
        </w:rPr>
        <w:t xml:space="preserve">is technologically justified and safe. </w:t>
      </w:r>
    </w:p>
    <w:p w14:paraId="299D8EFC" w14:textId="77777777" w:rsidR="00CB251F" w:rsidRDefault="00CB251F" w:rsidP="001A5FC7">
      <w:pPr>
        <w:rPr>
          <w:rFonts w:cs="Arial"/>
        </w:rPr>
      </w:pPr>
    </w:p>
    <w:p w14:paraId="7FC80DD2" w14:textId="32445EA4" w:rsidR="001A5FC7" w:rsidRDefault="00E94FFC" w:rsidP="001A5FC7">
      <w:r>
        <w:t>Therefore, p</w:t>
      </w:r>
      <w:r w:rsidR="001A5FC7" w:rsidRPr="005654A6">
        <w:t xml:space="preserve">ermission in the Code would </w:t>
      </w:r>
      <w:r w:rsidR="003B0E41">
        <w:t xml:space="preserve">result in </w:t>
      </w:r>
      <w:r w:rsidR="001A5FC7" w:rsidRPr="005654A6">
        <w:t>consistency with international regulations and trading partners.</w:t>
      </w:r>
      <w:r w:rsidR="001A5FC7" w:rsidRPr="00846647">
        <w:t xml:space="preserve"> </w:t>
      </w:r>
    </w:p>
    <w:p w14:paraId="7179BE40" w14:textId="413FA4D0" w:rsidR="00BB7197" w:rsidRDefault="00BB7197" w:rsidP="001A5FC7"/>
    <w:p w14:paraId="23E27217" w14:textId="3D70E023" w:rsidR="00BB7197" w:rsidRPr="00846647" w:rsidRDefault="00BB7197" w:rsidP="001A5FC7">
      <w:r>
        <w:t xml:space="preserve">The requested increase in the MPL of </w:t>
      </w:r>
      <w:r w:rsidR="00D76B93">
        <w:t>A</w:t>
      </w:r>
      <w:r>
        <w:t>ce</w:t>
      </w:r>
      <w:r w:rsidR="00D76B93">
        <w:t xml:space="preserve"> K</w:t>
      </w:r>
      <w:r>
        <w:t xml:space="preserve"> in chewing gum will apply to all chewing gum sold in Australia and New Zealand, not just those products marketed by the Applicant. </w:t>
      </w:r>
      <w:r w:rsidR="00867F4B">
        <w:t>C</w:t>
      </w:r>
      <w:r>
        <w:t xml:space="preserve">hewing gum manufacturers can </w:t>
      </w:r>
      <w:r w:rsidR="00867F4B">
        <w:t>choose to add</w:t>
      </w:r>
      <w:r>
        <w:t xml:space="preserve"> </w:t>
      </w:r>
      <w:r w:rsidR="00D76B93">
        <w:t>A</w:t>
      </w:r>
      <w:r>
        <w:t>ce</w:t>
      </w:r>
      <w:r w:rsidR="00D76B93">
        <w:t xml:space="preserve"> K</w:t>
      </w:r>
      <w:r>
        <w:t xml:space="preserve"> </w:t>
      </w:r>
      <w:r w:rsidR="00867F4B">
        <w:t xml:space="preserve">at levels lower </w:t>
      </w:r>
      <w:r>
        <w:t>than the MPL</w:t>
      </w:r>
      <w:r w:rsidR="00AF787E">
        <w:t xml:space="preserve"> under the general principle of Good Manufacturing </w:t>
      </w:r>
      <w:r w:rsidR="006C3392">
        <w:t>Practice</w:t>
      </w:r>
      <w:r w:rsidR="00AF787E">
        <w:t xml:space="preserve"> (GMP). </w:t>
      </w:r>
    </w:p>
    <w:p w14:paraId="38C7250E" w14:textId="77777777" w:rsidR="001A5FC7" w:rsidRPr="00846647" w:rsidRDefault="001A5FC7" w:rsidP="001A5FC7"/>
    <w:p w14:paraId="5B20A4D3" w14:textId="5E13CB02" w:rsidR="001A5FC7" w:rsidRDefault="001A5FC7" w:rsidP="001D331A">
      <w:r>
        <w:t xml:space="preserve">FSANZ has prepared a draft variation to permit the </w:t>
      </w:r>
      <w:r w:rsidR="00582AF8">
        <w:t xml:space="preserve">increase in the MPL for </w:t>
      </w:r>
      <w:r w:rsidR="0053502D">
        <w:t>A</w:t>
      </w:r>
      <w:r w:rsidR="00582AF8">
        <w:t xml:space="preserve">ce </w:t>
      </w:r>
      <w:r w:rsidR="0053502D">
        <w:t xml:space="preserve">K </w:t>
      </w:r>
      <w:r w:rsidR="00582AF8">
        <w:t xml:space="preserve">in chewing gum to 5000 mg/kg. </w:t>
      </w:r>
    </w:p>
    <w:p w14:paraId="47587E6F" w14:textId="2888048F" w:rsidR="00552702" w:rsidRDefault="00552702" w:rsidP="001D331A"/>
    <w:p w14:paraId="5B69C2B1" w14:textId="307318AD" w:rsidR="00552702" w:rsidRDefault="00552702" w:rsidP="00552702">
      <w:pPr>
        <w:rPr>
          <w:color w:val="000000" w:themeColor="text1"/>
        </w:rPr>
      </w:pPr>
      <w:r>
        <w:rPr>
          <w:color w:val="000000" w:themeColor="text1"/>
        </w:rPr>
        <w:t xml:space="preserve">All references to </w:t>
      </w:r>
      <w:r w:rsidRPr="001D7132">
        <w:rPr>
          <w:i/>
        </w:rPr>
        <w:t>the Australia New Zealand Food Standard</w:t>
      </w:r>
      <w:r>
        <w:t xml:space="preserve"> Code (the Code) </w:t>
      </w:r>
      <w:r>
        <w:rPr>
          <w:color w:val="000000" w:themeColor="text1"/>
        </w:rPr>
        <w:t>in this assessment summary and related S</w:t>
      </w:r>
      <w:r w:rsidR="00815005">
        <w:rPr>
          <w:color w:val="000000" w:themeColor="text1"/>
        </w:rPr>
        <w:t xml:space="preserve">upporting </w:t>
      </w:r>
      <w:r w:rsidR="00910A30">
        <w:rPr>
          <w:color w:val="000000" w:themeColor="text1"/>
        </w:rPr>
        <w:t>Documents</w:t>
      </w:r>
      <w:r w:rsidR="00815005">
        <w:rPr>
          <w:color w:val="000000" w:themeColor="text1"/>
        </w:rPr>
        <w:t xml:space="preserve"> (SD</w:t>
      </w:r>
      <w:r w:rsidR="0053502D">
        <w:rPr>
          <w:color w:val="000000" w:themeColor="text1"/>
        </w:rPr>
        <w:t>s</w:t>
      </w:r>
      <w:r w:rsidR="00815005">
        <w:rPr>
          <w:color w:val="000000" w:themeColor="text1"/>
        </w:rPr>
        <w:t>)</w:t>
      </w:r>
      <w:r>
        <w:rPr>
          <w:color w:val="000000" w:themeColor="text1"/>
        </w:rPr>
        <w:t xml:space="preserve">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until </w:t>
      </w:r>
      <w:r w:rsidRPr="00306096">
        <w:t>close to this date</w:t>
      </w:r>
      <w:r>
        <w:t xml:space="preserve"> (if approved by the FSANZ Board</w:t>
      </w:r>
      <w:r w:rsidRPr="00D209C9">
        <w:t xml:space="preserve"> </w:t>
      </w:r>
      <w:r>
        <w:t>and no review of that decision is requested by Ministers). FSANZ therefore considers it is unnecessary to amend the current Code.</w:t>
      </w:r>
      <w:r w:rsidRPr="001E1FAB">
        <w:rPr>
          <w:color w:val="000000" w:themeColor="text1"/>
        </w:rPr>
        <w:t xml:space="preserve"> </w:t>
      </w:r>
    </w:p>
    <w:p w14:paraId="4B376E1C" w14:textId="77777777" w:rsidR="00552702" w:rsidRDefault="00552702" w:rsidP="001D331A"/>
    <w:p w14:paraId="658A83E9" w14:textId="77777777" w:rsidR="0053464E" w:rsidRDefault="0053464E" w:rsidP="00A56E34">
      <w:r>
        <w:br w:type="page"/>
      </w:r>
      <w:bookmarkStart w:id="9" w:name="_GoBack"/>
      <w:bookmarkEnd w:id="9"/>
    </w:p>
    <w:p w14:paraId="3ED7CE8E" w14:textId="77777777" w:rsidR="00D53E8A" w:rsidRDefault="00F33BB8" w:rsidP="00D53E8A">
      <w:pPr>
        <w:pStyle w:val="Heading1"/>
      </w:pPr>
      <w:bookmarkStart w:id="10" w:name="_Toc300933417"/>
      <w:bookmarkStart w:id="11" w:name="_Toc427676491"/>
      <w:r>
        <w:lastRenderedPageBreak/>
        <w:t>1</w:t>
      </w:r>
      <w:r w:rsidR="001542D8">
        <w:tab/>
      </w:r>
      <w:r w:rsidR="002A5F8B" w:rsidRPr="000B6AF2">
        <w:t>Introduction</w:t>
      </w:r>
      <w:bookmarkStart w:id="12" w:name="_Toc300761890"/>
      <w:bookmarkStart w:id="13" w:name="_Toc300933419"/>
      <w:bookmarkEnd w:id="8"/>
      <w:bookmarkEnd w:id="10"/>
      <w:bookmarkEnd w:id="11"/>
    </w:p>
    <w:p w14:paraId="658A83EB" w14:textId="781BEB83" w:rsidR="0053464E" w:rsidRPr="0053464E" w:rsidRDefault="00F33BB8" w:rsidP="00D53E8A">
      <w:pPr>
        <w:pStyle w:val="Heading2"/>
      </w:pPr>
      <w:bookmarkStart w:id="14" w:name="_Toc427676492"/>
      <w:r>
        <w:t>1</w:t>
      </w:r>
      <w:r w:rsidR="0053464E" w:rsidRPr="0053464E">
        <w:t>.1</w:t>
      </w:r>
      <w:r w:rsidR="0053464E" w:rsidRPr="0053464E">
        <w:tab/>
        <w:t>The Applicant</w:t>
      </w:r>
      <w:bookmarkEnd w:id="12"/>
      <w:bookmarkEnd w:id="14"/>
      <w:r w:rsidR="00256D65" w:rsidRPr="00256D65">
        <w:t xml:space="preserve"> </w:t>
      </w:r>
      <w:bookmarkEnd w:id="13"/>
    </w:p>
    <w:p w14:paraId="658A83EC" w14:textId="15FDF49F" w:rsidR="0053464E" w:rsidRPr="00F33BB8" w:rsidRDefault="005B4085" w:rsidP="0053464E">
      <w:pPr>
        <w:rPr>
          <w:color w:val="00B050"/>
        </w:rPr>
      </w:pPr>
      <w:r>
        <w:t xml:space="preserve">The Applicant is </w:t>
      </w:r>
      <w:r w:rsidR="00A30C2E">
        <w:t>Wm. Wrigley Jr. Company</w:t>
      </w:r>
      <w:r>
        <w:t xml:space="preserve"> (Australia) Pty Limited.</w:t>
      </w:r>
      <w:r w:rsidR="00A30C2E">
        <w:t xml:space="preserve"> The Wrigley Company (Australia) Pty Limited and the Wrigley Company (N.Z.) Limited are wholly owned subsidia</w:t>
      </w:r>
      <w:r w:rsidR="001D331A">
        <w:t>ries of Wm. Wrigley Jr. Company.</w:t>
      </w:r>
      <w:r w:rsidR="00A30C2E">
        <w:t xml:space="preserve"> </w:t>
      </w:r>
      <w:r w:rsidR="001D5E95">
        <w:t>Wrigley is a subsidiary of Mars, Incorporated</w:t>
      </w:r>
      <w:r w:rsidR="001D331A">
        <w:t>, one of the world’s largest food companies</w:t>
      </w:r>
      <w:r w:rsidR="001D5E95">
        <w:t>.</w:t>
      </w:r>
    </w:p>
    <w:p w14:paraId="658A83ED" w14:textId="5962BDDB" w:rsidR="0053464E" w:rsidRPr="0053464E" w:rsidRDefault="00F33BB8" w:rsidP="00A56E34">
      <w:pPr>
        <w:pStyle w:val="Heading2"/>
      </w:pPr>
      <w:bookmarkStart w:id="15" w:name="_Toc300761891"/>
      <w:bookmarkStart w:id="16" w:name="_Toc300933420"/>
      <w:bookmarkStart w:id="17" w:name="_Toc427676493"/>
      <w:r>
        <w:t>1</w:t>
      </w:r>
      <w:r w:rsidR="0053464E" w:rsidRPr="0053464E">
        <w:t>.2</w:t>
      </w:r>
      <w:r w:rsidR="0053464E" w:rsidRPr="0053464E">
        <w:tab/>
      </w:r>
      <w:bookmarkEnd w:id="15"/>
      <w:bookmarkEnd w:id="16"/>
      <w:r w:rsidR="00C37392" w:rsidRPr="0053464E">
        <w:t xml:space="preserve">The </w:t>
      </w:r>
      <w:r w:rsidR="00C37392">
        <w:t>Application</w:t>
      </w:r>
      <w:bookmarkEnd w:id="17"/>
    </w:p>
    <w:p w14:paraId="6E841CE9" w14:textId="46313FD0" w:rsidR="007822A4" w:rsidRDefault="00A30C2E" w:rsidP="0053464E">
      <w:r>
        <w:t>This Application seeks to increas</w:t>
      </w:r>
      <w:r w:rsidR="00B72983">
        <w:t>e</w:t>
      </w:r>
      <w:r>
        <w:t xml:space="preserve"> the Maximum Permitted Level (MPL) of </w:t>
      </w:r>
      <w:r w:rsidR="00BF29CF">
        <w:t>a</w:t>
      </w:r>
      <w:r>
        <w:t xml:space="preserve">cesulphame </w:t>
      </w:r>
      <w:r w:rsidR="00BF29CF">
        <w:t>p</w:t>
      </w:r>
      <w:r>
        <w:t>otassium (Ace</w:t>
      </w:r>
      <w:r w:rsidR="00DA544C">
        <w:t xml:space="preserve"> </w:t>
      </w:r>
      <w:r>
        <w:t>K) in chewing gum</w:t>
      </w:r>
      <w:r w:rsidR="007822A4">
        <w:t xml:space="preserve">. If the </w:t>
      </w:r>
      <w:r w:rsidR="00B72983">
        <w:t>increase is allowed it will enable The Wrigley Company to standardise formulations</w:t>
      </w:r>
      <w:r w:rsidR="007822A4">
        <w:t xml:space="preserve"> </w:t>
      </w:r>
      <w:r w:rsidR="00B72983">
        <w:t xml:space="preserve">across the company’s products </w:t>
      </w:r>
      <w:r w:rsidR="007822A4">
        <w:t>and operations</w:t>
      </w:r>
      <w:r w:rsidR="009D3BC7">
        <w:t>,</w:t>
      </w:r>
      <w:r w:rsidR="007822A4">
        <w:t xml:space="preserve"> and allow them to sell chewing gum products in Australia</w:t>
      </w:r>
      <w:r w:rsidR="005521E7">
        <w:t xml:space="preserve"> and New Zealand with flavour </w:t>
      </w:r>
      <w:r w:rsidR="003D2DDA">
        <w:t xml:space="preserve">profiles </w:t>
      </w:r>
      <w:r w:rsidR="005521E7">
        <w:t xml:space="preserve">(sweetness) </w:t>
      </w:r>
      <w:r w:rsidR="003D2DDA">
        <w:t xml:space="preserve">which </w:t>
      </w:r>
      <w:r w:rsidR="007822A4">
        <w:t>match</w:t>
      </w:r>
      <w:r w:rsidR="003D2DDA">
        <w:t xml:space="preserve"> </w:t>
      </w:r>
      <w:r w:rsidR="007822A4">
        <w:t xml:space="preserve">products distributed in other overseas markets. </w:t>
      </w:r>
    </w:p>
    <w:p w14:paraId="3B4C1538" w14:textId="5A48A3DE" w:rsidR="004A4B44" w:rsidRDefault="004A4B44" w:rsidP="0053464E"/>
    <w:p w14:paraId="13E1D8D8" w14:textId="6F78A902" w:rsidR="004A4B44" w:rsidRDefault="00EE107C" w:rsidP="0053464E">
      <w:r>
        <w:t xml:space="preserve">If this Application is approved it </w:t>
      </w:r>
      <w:r w:rsidR="00C37392">
        <w:t xml:space="preserve">will </w:t>
      </w:r>
      <w:r w:rsidR="00F350B2">
        <w:t>also</w:t>
      </w:r>
      <w:r>
        <w:t xml:space="preserve"> allow other chewing gum manufacture</w:t>
      </w:r>
      <w:r w:rsidR="00E9078C">
        <w:t>rs the option to</w:t>
      </w:r>
      <w:r>
        <w:t xml:space="preserve">  </w:t>
      </w:r>
      <w:r w:rsidR="00E9078C">
        <w:t xml:space="preserve">incorporate </w:t>
      </w:r>
      <w:r>
        <w:t>higher level</w:t>
      </w:r>
      <w:r w:rsidR="00E9078C">
        <w:t>s of Ace</w:t>
      </w:r>
      <w:r w:rsidR="00C37392">
        <w:t xml:space="preserve"> </w:t>
      </w:r>
      <w:r w:rsidR="00E9078C">
        <w:t xml:space="preserve">K </w:t>
      </w:r>
      <w:r w:rsidR="00F350B2">
        <w:t>in</w:t>
      </w:r>
      <w:r>
        <w:t xml:space="preserve"> their </w:t>
      </w:r>
      <w:r w:rsidR="00E9078C">
        <w:t xml:space="preserve">chewing gum </w:t>
      </w:r>
      <w:r>
        <w:t>products in Australia and New Zealand.</w:t>
      </w:r>
      <w:r w:rsidR="00E9078C">
        <w:t xml:space="preserve"> </w:t>
      </w:r>
      <w:r>
        <w:t xml:space="preserve">    </w:t>
      </w:r>
    </w:p>
    <w:p w14:paraId="658A83EF" w14:textId="24A9137F" w:rsidR="0053464E" w:rsidRPr="0053464E" w:rsidRDefault="00F33BB8" w:rsidP="00A56E34">
      <w:pPr>
        <w:pStyle w:val="Heading2"/>
      </w:pPr>
      <w:bookmarkStart w:id="18" w:name="_Toc300761892"/>
      <w:bookmarkStart w:id="19" w:name="_Toc300933421"/>
      <w:bookmarkStart w:id="20" w:name="_Toc427676494"/>
      <w:r>
        <w:t>1</w:t>
      </w:r>
      <w:r w:rsidR="00327BAB">
        <w:t>.3</w:t>
      </w:r>
      <w:r w:rsidR="00327BAB">
        <w:tab/>
        <w:t>The c</w:t>
      </w:r>
      <w:r w:rsidR="0053464E" w:rsidRPr="0053464E">
        <w:t>urrent</w:t>
      </w:r>
      <w:r w:rsidR="00C8538B">
        <w:t xml:space="preserve"> </w:t>
      </w:r>
      <w:r w:rsidR="0053464E" w:rsidRPr="0053464E">
        <w:t>Standard</w:t>
      </w:r>
      <w:bookmarkEnd w:id="18"/>
      <w:bookmarkEnd w:id="19"/>
      <w:bookmarkEnd w:id="20"/>
    </w:p>
    <w:p w14:paraId="3303C3C1" w14:textId="26217291" w:rsidR="009F5901" w:rsidRDefault="009F5901" w:rsidP="009F5901">
      <w:pPr>
        <w:rPr>
          <w:color w:val="000000" w:themeColor="text1"/>
        </w:rPr>
      </w:pPr>
      <w:bookmarkStart w:id="21" w:name="_Toc286391007"/>
      <w:bookmarkStart w:id="22" w:name="_Toc300933423"/>
      <w:bookmarkStart w:id="23" w:name="_Toc175381432"/>
      <w:r>
        <w:rPr>
          <w:color w:val="000000" w:themeColor="text1"/>
        </w:rPr>
        <w:t>All references to the Code in this assessment summary and related SD</w:t>
      </w:r>
      <w:r w:rsidR="0053502D">
        <w:rPr>
          <w:color w:val="000000" w:themeColor="text1"/>
        </w:rPr>
        <w:t>s</w:t>
      </w:r>
      <w:r>
        <w:rPr>
          <w:color w:val="000000" w:themeColor="text1"/>
        </w:rPr>
        <w:t xml:space="preserve">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003B0E41">
        <w:t xml:space="preserve">to occur </w:t>
      </w:r>
      <w:r>
        <w:t>until close to this date</w:t>
      </w:r>
      <w:r w:rsidR="003B0E41">
        <w:t xml:space="preserve"> (</w:t>
      </w:r>
      <w:r>
        <w:t>if approved by the FSANZ Board</w:t>
      </w:r>
      <w:r w:rsidRPr="00D209C9">
        <w:t xml:space="preserve"> </w:t>
      </w:r>
      <w:r>
        <w:t>and no review of that decision is requested by Ministers</w:t>
      </w:r>
      <w:r w:rsidR="003B0E41">
        <w:t xml:space="preserve">). Therefore </w:t>
      </w:r>
      <w:r>
        <w:t>FSANZ considers it is unnecessary to amend the current Code.</w:t>
      </w:r>
      <w:r w:rsidRPr="001E1FAB">
        <w:rPr>
          <w:color w:val="000000" w:themeColor="text1"/>
        </w:rPr>
        <w:t xml:space="preserve"> </w:t>
      </w:r>
    </w:p>
    <w:p w14:paraId="5C3ACA37" w14:textId="77777777" w:rsidR="009F5901" w:rsidRDefault="009F5901" w:rsidP="00DA544C"/>
    <w:p w14:paraId="220FFCDC" w14:textId="7AED48D5" w:rsidR="00DA544C" w:rsidRDefault="00C8538B" w:rsidP="00DA544C">
      <w:r w:rsidRPr="00B34383">
        <w:t>Ace K (INS 950)</w:t>
      </w:r>
      <w:r w:rsidR="00DA544C" w:rsidRPr="00B34383">
        <w:t xml:space="preserve"> is a food additive with technological purposes </w:t>
      </w:r>
      <w:r w:rsidR="00485BA5" w:rsidRPr="00B34383">
        <w:t>as an intense sweetener and</w:t>
      </w:r>
      <w:r w:rsidR="00DA544C" w:rsidRPr="00B34383">
        <w:t xml:space="preserve"> flavour enhancer. It has been a permitted food additive in the Code for many years, in a range of food categories</w:t>
      </w:r>
      <w:r w:rsidR="00306EBC">
        <w:t xml:space="preserve"> at a range of levels</w:t>
      </w:r>
      <w:r w:rsidR="00B34383" w:rsidRPr="00B34383">
        <w:t>.</w:t>
      </w:r>
      <w:r w:rsidR="00082D7D">
        <w:t xml:space="preserve"> </w:t>
      </w:r>
      <w:r w:rsidR="003B0E41">
        <w:t>The t</w:t>
      </w:r>
      <w:r w:rsidRPr="00B34383">
        <w:t xml:space="preserve">able to section S15—5 </w:t>
      </w:r>
      <w:r w:rsidR="00B34383" w:rsidRPr="00B34383">
        <w:t>detail</w:t>
      </w:r>
      <w:r w:rsidR="00723C21">
        <w:t>s</w:t>
      </w:r>
      <w:r w:rsidR="00B34383" w:rsidRPr="00B34383">
        <w:t xml:space="preserve"> the various permissions. </w:t>
      </w:r>
      <w:r w:rsidR="001543C5" w:rsidRPr="00B34383">
        <w:t xml:space="preserve"> </w:t>
      </w:r>
    </w:p>
    <w:p w14:paraId="5A6441A9" w14:textId="77777777" w:rsidR="00DA544C" w:rsidRDefault="00DA544C" w:rsidP="00DA544C"/>
    <w:p w14:paraId="3B0D117C" w14:textId="1E2C78B5" w:rsidR="00DA544C" w:rsidRDefault="001543C5" w:rsidP="00DA544C">
      <w:pPr>
        <w:rPr>
          <w:lang w:bidi="ar-SA"/>
        </w:rPr>
      </w:pPr>
      <w:r>
        <w:rPr>
          <w:lang w:bidi="ar-SA"/>
        </w:rPr>
        <w:t xml:space="preserve">The current permission for </w:t>
      </w:r>
      <w:r w:rsidR="00DA544C">
        <w:rPr>
          <w:lang w:bidi="ar-SA"/>
        </w:rPr>
        <w:t xml:space="preserve">Ace K </w:t>
      </w:r>
      <w:r>
        <w:rPr>
          <w:lang w:bidi="ar-SA"/>
        </w:rPr>
        <w:t xml:space="preserve">in chewing gum </w:t>
      </w:r>
      <w:r w:rsidR="00485BA5">
        <w:rPr>
          <w:lang w:bidi="ar-SA"/>
        </w:rPr>
        <w:t xml:space="preserve">allows a </w:t>
      </w:r>
      <w:r w:rsidR="00015C0D">
        <w:t>MPL</w:t>
      </w:r>
      <w:r>
        <w:t xml:space="preserve"> of 2000 mg/kg. This </w:t>
      </w:r>
      <w:r>
        <w:rPr>
          <w:lang w:bidi="ar-SA"/>
        </w:rPr>
        <w:t>is</w:t>
      </w:r>
      <w:r w:rsidR="00015C0D">
        <w:rPr>
          <w:lang w:bidi="ar-SA"/>
        </w:rPr>
        <w:t xml:space="preserve"> listed under </w:t>
      </w:r>
      <w:r w:rsidR="00E02006">
        <w:rPr>
          <w:lang w:bidi="ar-SA"/>
        </w:rPr>
        <w:t xml:space="preserve">item </w:t>
      </w:r>
      <w:r w:rsidR="00DA544C">
        <w:rPr>
          <w:lang w:bidi="ar-SA"/>
        </w:rPr>
        <w:t>5 (Confectionery)</w:t>
      </w:r>
      <w:r w:rsidR="00723C21">
        <w:rPr>
          <w:lang w:bidi="ar-SA"/>
        </w:rPr>
        <w:t xml:space="preserve">. </w:t>
      </w:r>
      <w:r w:rsidR="00815005">
        <w:rPr>
          <w:lang w:bidi="ar-SA"/>
        </w:rPr>
        <w:t>Sub-item</w:t>
      </w:r>
      <w:r w:rsidR="00E02006">
        <w:rPr>
          <w:lang w:bidi="ar-SA"/>
        </w:rPr>
        <w:t xml:space="preserve"> </w:t>
      </w:r>
      <w:r w:rsidR="00DA544C">
        <w:rPr>
          <w:lang w:bidi="ar-SA"/>
        </w:rPr>
        <w:t>5.2 (</w:t>
      </w:r>
      <w:r w:rsidR="00015C0D">
        <w:rPr>
          <w:lang w:bidi="ar-SA"/>
        </w:rPr>
        <w:t>S</w:t>
      </w:r>
      <w:r w:rsidR="00DA544C">
        <w:rPr>
          <w:lang w:bidi="ar-SA"/>
        </w:rPr>
        <w:t xml:space="preserve">ugar confectionery) contains a further </w:t>
      </w:r>
      <w:r w:rsidR="00E02006">
        <w:rPr>
          <w:lang w:bidi="ar-SA"/>
        </w:rPr>
        <w:t xml:space="preserve">permission for </w:t>
      </w:r>
      <w:r w:rsidR="00485BA5">
        <w:rPr>
          <w:lang w:bidi="ar-SA"/>
        </w:rPr>
        <w:t xml:space="preserve">“bubble </w:t>
      </w:r>
      <w:r w:rsidR="00DA544C">
        <w:rPr>
          <w:lang w:bidi="ar-SA"/>
        </w:rPr>
        <w:t>and chewing gum</w:t>
      </w:r>
      <w:r w:rsidR="00485BA5">
        <w:rPr>
          <w:lang w:bidi="ar-SA"/>
        </w:rPr>
        <w:t>”</w:t>
      </w:r>
      <w:r w:rsidR="00DA544C">
        <w:rPr>
          <w:lang w:bidi="ar-SA"/>
        </w:rPr>
        <w:t xml:space="preserve">. The </w:t>
      </w:r>
      <w:r w:rsidR="00AC72CF">
        <w:rPr>
          <w:lang w:bidi="ar-SA"/>
        </w:rPr>
        <w:t xml:space="preserve">permissions in </w:t>
      </w:r>
      <w:r w:rsidR="00E02006">
        <w:rPr>
          <w:lang w:bidi="ar-SA"/>
        </w:rPr>
        <w:t xml:space="preserve">item </w:t>
      </w:r>
      <w:r w:rsidR="00DA544C">
        <w:rPr>
          <w:lang w:bidi="ar-SA"/>
        </w:rPr>
        <w:t xml:space="preserve">5 apply to the </w:t>
      </w:r>
      <w:r w:rsidR="00815005">
        <w:rPr>
          <w:lang w:bidi="ar-SA"/>
        </w:rPr>
        <w:t>sub-item</w:t>
      </w:r>
      <w:r w:rsidR="00E02006">
        <w:rPr>
          <w:lang w:bidi="ar-SA"/>
        </w:rPr>
        <w:t xml:space="preserve"> </w:t>
      </w:r>
      <w:r w:rsidR="00DA544C">
        <w:rPr>
          <w:lang w:bidi="ar-SA"/>
        </w:rPr>
        <w:t xml:space="preserve">5.2 due to the </w:t>
      </w:r>
      <w:r w:rsidR="00AC72CF">
        <w:rPr>
          <w:lang w:bidi="ar-SA"/>
        </w:rPr>
        <w:t xml:space="preserve">hierarchical </w:t>
      </w:r>
      <w:r w:rsidR="00DA544C">
        <w:rPr>
          <w:lang w:bidi="ar-SA"/>
        </w:rPr>
        <w:t>nature of food addi</w:t>
      </w:r>
      <w:r w:rsidR="00082D7D">
        <w:rPr>
          <w:lang w:bidi="ar-SA"/>
        </w:rPr>
        <w:t xml:space="preserve">tive permissions in </w:t>
      </w:r>
      <w:r w:rsidR="00647F5E">
        <w:rPr>
          <w:lang w:bidi="ar-SA"/>
        </w:rPr>
        <w:t>S15–5</w:t>
      </w:r>
      <w:r w:rsidR="00723C21">
        <w:rPr>
          <w:lang w:bidi="ar-SA"/>
        </w:rPr>
        <w:t xml:space="preserve">. </w:t>
      </w:r>
    </w:p>
    <w:p w14:paraId="1C101E9C" w14:textId="77777777" w:rsidR="001543C5" w:rsidRDefault="001543C5" w:rsidP="00DA544C">
      <w:pPr>
        <w:rPr>
          <w:lang w:bidi="ar-SA"/>
        </w:rPr>
      </w:pPr>
    </w:p>
    <w:p w14:paraId="06CE4A0E" w14:textId="06305A25" w:rsidR="001543C5" w:rsidRDefault="00723C21" w:rsidP="001543C5">
      <w:pPr>
        <w:rPr>
          <w:szCs w:val="22"/>
          <w:lang w:bidi="ar-SA"/>
        </w:rPr>
      </w:pPr>
      <w:r>
        <w:rPr>
          <w:lang w:bidi="ar-SA"/>
        </w:rPr>
        <w:t>S</w:t>
      </w:r>
      <w:r w:rsidR="00082D7D" w:rsidRPr="00723C21">
        <w:rPr>
          <w:lang w:bidi="ar-SA"/>
        </w:rPr>
        <w:t>ection 1.3.1</w:t>
      </w:r>
      <w:r w:rsidR="00647F5E" w:rsidRPr="00723C21">
        <w:rPr>
          <w:lang w:bidi="ar-SA"/>
        </w:rPr>
        <w:t>–</w:t>
      </w:r>
      <w:r w:rsidR="000445E5">
        <w:rPr>
          <w:lang w:bidi="ar-SA"/>
        </w:rPr>
        <w:t>6</w:t>
      </w:r>
      <w:r w:rsidR="0020293E">
        <w:rPr>
          <w:lang w:bidi="ar-SA"/>
        </w:rPr>
        <w:t xml:space="preserve"> of Standard 1.3.1 </w:t>
      </w:r>
      <w:r w:rsidR="00BC6E38" w:rsidRPr="00723C21">
        <w:rPr>
          <w:lang w:bidi="ar-SA"/>
        </w:rPr>
        <w:t xml:space="preserve">limits the amounts of </w:t>
      </w:r>
      <w:r w:rsidR="00015C0D" w:rsidRPr="00723C21">
        <w:rPr>
          <w:lang w:bidi="ar-SA"/>
        </w:rPr>
        <w:t xml:space="preserve">additives </w:t>
      </w:r>
      <w:r w:rsidR="00015C0D" w:rsidRPr="00723C21">
        <w:rPr>
          <w:szCs w:val="22"/>
          <w:lang w:bidi="ar-SA"/>
        </w:rPr>
        <w:t>in a food</w:t>
      </w:r>
      <w:r w:rsidR="00BC6E38" w:rsidRPr="00723C21">
        <w:rPr>
          <w:szCs w:val="22"/>
          <w:lang w:bidi="ar-SA"/>
        </w:rPr>
        <w:t xml:space="preserve"> when two o</w:t>
      </w:r>
      <w:r w:rsidR="00647F5E" w:rsidRPr="00723C21">
        <w:rPr>
          <w:szCs w:val="22"/>
          <w:lang w:bidi="ar-SA"/>
        </w:rPr>
        <w:t xml:space="preserve">r more are used </w:t>
      </w:r>
      <w:r w:rsidR="00485BA5" w:rsidRPr="00723C21">
        <w:rPr>
          <w:szCs w:val="22"/>
          <w:lang w:bidi="ar-SA"/>
        </w:rPr>
        <w:t>fo</w:t>
      </w:r>
      <w:r w:rsidR="00647F5E" w:rsidRPr="00723C21">
        <w:rPr>
          <w:szCs w:val="22"/>
          <w:lang w:bidi="ar-SA"/>
        </w:rPr>
        <w:t>r the same technological</w:t>
      </w:r>
      <w:r w:rsidR="00485BA5" w:rsidRPr="00723C21">
        <w:rPr>
          <w:szCs w:val="22"/>
          <w:lang w:bidi="ar-SA"/>
        </w:rPr>
        <w:t xml:space="preserve"> purpose</w:t>
      </w:r>
      <w:r w:rsidR="00015C0D" w:rsidRPr="00723C21">
        <w:rPr>
          <w:szCs w:val="22"/>
          <w:lang w:bidi="ar-SA"/>
        </w:rPr>
        <w:t>.</w:t>
      </w:r>
      <w:r w:rsidR="00306EBC" w:rsidRPr="00723C21">
        <w:rPr>
          <w:szCs w:val="22"/>
          <w:lang w:bidi="ar-SA"/>
        </w:rPr>
        <w:t xml:space="preserve"> This is often referred to as the “unity principle”.</w:t>
      </w:r>
      <w:r w:rsidR="00015C0D" w:rsidRPr="00723C21">
        <w:rPr>
          <w:szCs w:val="22"/>
          <w:lang w:bidi="ar-SA"/>
        </w:rPr>
        <w:t xml:space="preserve"> </w:t>
      </w:r>
      <w:r w:rsidRPr="00723C21">
        <w:rPr>
          <w:szCs w:val="22"/>
          <w:lang w:bidi="ar-SA"/>
        </w:rPr>
        <w:t>For intense sweeteners i</w:t>
      </w:r>
      <w:r w:rsidR="00485BA5" w:rsidRPr="00723C21">
        <w:rPr>
          <w:szCs w:val="22"/>
          <w:lang w:bidi="ar-SA"/>
        </w:rPr>
        <w:t>n chewing gum, t</w:t>
      </w:r>
      <w:r w:rsidR="001543C5" w:rsidRPr="00723C21">
        <w:rPr>
          <w:szCs w:val="22"/>
          <w:lang w:bidi="ar-SA"/>
        </w:rPr>
        <w:t xml:space="preserve">he </w:t>
      </w:r>
      <w:r w:rsidR="00015C0D" w:rsidRPr="00723C21">
        <w:rPr>
          <w:szCs w:val="22"/>
          <w:lang w:bidi="ar-SA"/>
        </w:rPr>
        <w:t xml:space="preserve">maximum amount of </w:t>
      </w:r>
      <w:r w:rsidR="00647F5E" w:rsidRPr="00723C21">
        <w:rPr>
          <w:szCs w:val="22"/>
          <w:lang w:bidi="ar-SA"/>
        </w:rPr>
        <w:t xml:space="preserve">each </w:t>
      </w:r>
      <w:r w:rsidRPr="00723C21">
        <w:rPr>
          <w:szCs w:val="22"/>
          <w:lang w:bidi="ar-SA"/>
        </w:rPr>
        <w:t>additive</w:t>
      </w:r>
      <w:r w:rsidR="00485BA5" w:rsidRPr="00723C21">
        <w:rPr>
          <w:szCs w:val="22"/>
          <w:lang w:bidi="ar-SA"/>
        </w:rPr>
        <w:t xml:space="preserve"> </w:t>
      </w:r>
      <w:r w:rsidR="00015C0D" w:rsidRPr="00723C21">
        <w:rPr>
          <w:szCs w:val="22"/>
          <w:lang w:bidi="ar-SA"/>
        </w:rPr>
        <w:t xml:space="preserve">is </w:t>
      </w:r>
      <w:r w:rsidRPr="00723C21">
        <w:rPr>
          <w:szCs w:val="22"/>
          <w:lang w:bidi="ar-SA"/>
        </w:rPr>
        <w:t xml:space="preserve">proportional to </w:t>
      </w:r>
      <w:r w:rsidR="00015C0D" w:rsidRPr="00723C21">
        <w:rPr>
          <w:szCs w:val="22"/>
          <w:lang w:bidi="ar-SA"/>
        </w:rPr>
        <w:t>its</w:t>
      </w:r>
      <w:r w:rsidR="001543C5" w:rsidRPr="00723C21">
        <w:rPr>
          <w:szCs w:val="22"/>
          <w:lang w:bidi="ar-SA"/>
        </w:rPr>
        <w:t xml:space="preserve"> </w:t>
      </w:r>
      <w:r w:rsidR="00015C0D" w:rsidRPr="00723C21">
        <w:rPr>
          <w:szCs w:val="22"/>
          <w:lang w:bidi="ar-SA"/>
        </w:rPr>
        <w:t>MPL</w:t>
      </w:r>
      <w:r w:rsidR="00485BA5" w:rsidRPr="00723C21">
        <w:rPr>
          <w:szCs w:val="22"/>
          <w:lang w:bidi="ar-SA"/>
        </w:rPr>
        <w:t>, as</w:t>
      </w:r>
      <w:r w:rsidR="001543C5" w:rsidRPr="00723C21">
        <w:rPr>
          <w:szCs w:val="22"/>
          <w:lang w:bidi="ar-SA"/>
        </w:rPr>
        <w:t xml:space="preserve"> </w:t>
      </w:r>
      <w:r w:rsidRPr="00723C21">
        <w:rPr>
          <w:szCs w:val="22"/>
          <w:lang w:bidi="ar-SA"/>
        </w:rPr>
        <w:t xml:space="preserve">stated </w:t>
      </w:r>
      <w:r w:rsidR="00082D7D" w:rsidRPr="00723C21">
        <w:rPr>
          <w:szCs w:val="22"/>
          <w:lang w:bidi="ar-SA"/>
        </w:rPr>
        <w:t>in</w:t>
      </w:r>
      <w:r w:rsidR="00485BA5" w:rsidRPr="00723C21">
        <w:rPr>
          <w:szCs w:val="22"/>
          <w:lang w:bidi="ar-SA"/>
        </w:rPr>
        <w:t xml:space="preserve"> </w:t>
      </w:r>
      <w:r w:rsidR="00815005">
        <w:rPr>
          <w:szCs w:val="22"/>
          <w:lang w:bidi="ar-SA"/>
        </w:rPr>
        <w:t>sub-item</w:t>
      </w:r>
      <w:r w:rsidR="00E02006" w:rsidRPr="00723C21">
        <w:rPr>
          <w:szCs w:val="22"/>
          <w:lang w:bidi="ar-SA"/>
        </w:rPr>
        <w:t xml:space="preserve"> </w:t>
      </w:r>
      <w:r w:rsidR="00485BA5" w:rsidRPr="00723C21">
        <w:rPr>
          <w:szCs w:val="22"/>
          <w:lang w:bidi="ar-SA"/>
        </w:rPr>
        <w:t>5.2</w:t>
      </w:r>
      <w:r w:rsidR="0020293E">
        <w:rPr>
          <w:szCs w:val="22"/>
          <w:lang w:bidi="ar-SA"/>
        </w:rPr>
        <w:t xml:space="preserve"> of the table to section</w:t>
      </w:r>
      <w:r w:rsidR="001543C5" w:rsidRPr="00723C21">
        <w:rPr>
          <w:szCs w:val="22"/>
          <w:lang w:bidi="ar-SA"/>
        </w:rPr>
        <w:t xml:space="preserve"> </w:t>
      </w:r>
      <w:r w:rsidR="00647F5E" w:rsidRPr="00723C21">
        <w:rPr>
          <w:szCs w:val="22"/>
          <w:lang w:bidi="ar-SA"/>
        </w:rPr>
        <w:t>S15–</w:t>
      </w:r>
      <w:r w:rsidRPr="00723C21">
        <w:rPr>
          <w:szCs w:val="22"/>
          <w:lang w:bidi="ar-SA"/>
        </w:rPr>
        <w:t>5</w:t>
      </w:r>
      <w:r w:rsidR="0020293E">
        <w:rPr>
          <w:szCs w:val="22"/>
          <w:lang w:bidi="ar-SA"/>
        </w:rPr>
        <w:t xml:space="preserve"> of Schedule 15</w:t>
      </w:r>
      <w:r w:rsidR="000445E5">
        <w:rPr>
          <w:szCs w:val="22"/>
          <w:lang w:bidi="ar-SA"/>
        </w:rPr>
        <w:t xml:space="preserve">, </w:t>
      </w:r>
      <w:r w:rsidRPr="00723C21">
        <w:rPr>
          <w:szCs w:val="22"/>
          <w:lang w:bidi="ar-SA"/>
        </w:rPr>
        <w:t>wi</w:t>
      </w:r>
      <w:r w:rsidR="00015C0D" w:rsidRPr="00723C21">
        <w:rPr>
          <w:szCs w:val="22"/>
          <w:lang w:bidi="ar-SA"/>
        </w:rPr>
        <w:t xml:space="preserve">th the sum of the proportions of all the additives not exceeding 1.  </w:t>
      </w:r>
    </w:p>
    <w:p w14:paraId="1E2ACB00" w14:textId="77777777" w:rsidR="00BC6E38" w:rsidRDefault="00BC6E38" w:rsidP="001543C5">
      <w:pPr>
        <w:rPr>
          <w:szCs w:val="22"/>
          <w:lang w:bidi="ar-SA"/>
        </w:rPr>
      </w:pPr>
    </w:p>
    <w:p w14:paraId="6ABA86EE" w14:textId="5912294D" w:rsidR="00BC6E38" w:rsidRDefault="00935A18" w:rsidP="001543C5">
      <w:pPr>
        <w:rPr>
          <w:szCs w:val="22"/>
          <w:lang w:bidi="ar-SA"/>
        </w:rPr>
      </w:pPr>
      <w:r>
        <w:rPr>
          <w:szCs w:val="22"/>
          <w:lang w:bidi="ar-SA"/>
        </w:rPr>
        <w:t>To produce a chewing gum product that meets both flavour and format preferences it is necessary to use blends of sweeteners, which in turn means it is necessary to apply the “</w:t>
      </w:r>
      <w:r w:rsidR="00AC72CF">
        <w:rPr>
          <w:szCs w:val="22"/>
          <w:lang w:bidi="ar-SA"/>
        </w:rPr>
        <w:t xml:space="preserve">unity principle” to chewing gum. </w:t>
      </w:r>
      <w:r>
        <w:rPr>
          <w:szCs w:val="22"/>
          <w:lang w:bidi="ar-SA"/>
        </w:rPr>
        <w:t xml:space="preserve">As a result of the current MPL in the Code for Ace K and the need to apply the “unity principle” some chewing gum products available in overseas markets are not </w:t>
      </w:r>
      <w:r w:rsidR="0020293E">
        <w:rPr>
          <w:szCs w:val="22"/>
          <w:lang w:bidi="ar-SA"/>
        </w:rPr>
        <w:t xml:space="preserve">permitted </w:t>
      </w:r>
      <w:r>
        <w:rPr>
          <w:szCs w:val="22"/>
          <w:lang w:bidi="ar-SA"/>
        </w:rPr>
        <w:t>in Australia or New Zealand. Amending the current MPL for Ace K in chewing</w:t>
      </w:r>
      <w:r w:rsidR="00815005">
        <w:rPr>
          <w:szCs w:val="22"/>
          <w:lang w:bidi="ar-SA"/>
        </w:rPr>
        <w:t xml:space="preserve"> gum</w:t>
      </w:r>
      <w:r>
        <w:rPr>
          <w:szCs w:val="22"/>
          <w:lang w:bidi="ar-SA"/>
        </w:rPr>
        <w:t xml:space="preserve"> to a higher level of 5000 mg/kg addresses this issue </w:t>
      </w:r>
      <w:r w:rsidR="005C6ADE">
        <w:rPr>
          <w:szCs w:val="22"/>
          <w:lang w:bidi="ar-SA"/>
        </w:rPr>
        <w:t>(see example</w:t>
      </w:r>
      <w:r w:rsidR="00F30684">
        <w:rPr>
          <w:szCs w:val="22"/>
          <w:lang w:bidi="ar-SA"/>
        </w:rPr>
        <w:t>s in SD1</w:t>
      </w:r>
      <w:r w:rsidR="005C6ADE">
        <w:rPr>
          <w:szCs w:val="22"/>
          <w:lang w:bidi="ar-SA"/>
        </w:rPr>
        <w:t xml:space="preserve">) </w:t>
      </w:r>
      <w:r>
        <w:rPr>
          <w:szCs w:val="22"/>
          <w:lang w:bidi="ar-SA"/>
        </w:rPr>
        <w:t>and would allow currently prohibited chewing products into Australia and New Zealand.</w:t>
      </w:r>
      <w:r w:rsidR="0024145E">
        <w:rPr>
          <w:szCs w:val="22"/>
          <w:lang w:bidi="ar-SA"/>
        </w:rPr>
        <w:t xml:space="preserve"> </w:t>
      </w:r>
      <w:r w:rsidR="003B368B">
        <w:rPr>
          <w:szCs w:val="22"/>
          <w:lang w:bidi="ar-SA"/>
        </w:rPr>
        <w:t>There</w:t>
      </w:r>
      <w:r w:rsidR="0024145E">
        <w:rPr>
          <w:szCs w:val="22"/>
          <w:lang w:bidi="ar-SA"/>
        </w:rPr>
        <w:t xml:space="preserve"> will be no change to the requirement to apply the “unity principle”.  </w:t>
      </w:r>
    </w:p>
    <w:p w14:paraId="07245ADB" w14:textId="77777777" w:rsidR="00E67136" w:rsidRDefault="00E67136">
      <w:pPr>
        <w:widowControl/>
        <w:rPr>
          <w:b/>
          <w:szCs w:val="22"/>
          <w:lang w:bidi="ar-SA"/>
        </w:rPr>
      </w:pPr>
      <w:r>
        <w:rPr>
          <w:b/>
          <w:szCs w:val="22"/>
          <w:lang w:bidi="ar-SA"/>
        </w:rPr>
        <w:br w:type="page"/>
      </w:r>
    </w:p>
    <w:p w14:paraId="1A117E8D" w14:textId="73FFBE20" w:rsidR="00D74467" w:rsidRDefault="006A2684" w:rsidP="00327BAB">
      <w:pPr>
        <w:pStyle w:val="Heading3"/>
      </w:pPr>
      <w:bookmarkStart w:id="24" w:name="_Toc427676495"/>
      <w:r w:rsidRPr="006A2684">
        <w:lastRenderedPageBreak/>
        <w:t>1.3.1</w:t>
      </w:r>
      <w:r w:rsidRPr="006A2684">
        <w:tab/>
        <w:t>International</w:t>
      </w:r>
      <w:r w:rsidR="00C264A4">
        <w:t xml:space="preserve"> and national</w:t>
      </w:r>
      <w:r w:rsidRPr="006A2684">
        <w:t xml:space="preserve"> </w:t>
      </w:r>
      <w:r w:rsidR="00C264A4">
        <w:t>Standards</w:t>
      </w:r>
      <w:bookmarkEnd w:id="24"/>
      <w:r w:rsidR="00C264A4">
        <w:t xml:space="preserve"> </w:t>
      </w:r>
    </w:p>
    <w:p w14:paraId="6217D966" w14:textId="1EC1AD20" w:rsidR="00CB503F" w:rsidRPr="00CB503F" w:rsidRDefault="00CB503F" w:rsidP="00CB503F">
      <w:pPr>
        <w:rPr>
          <w:lang w:eastAsia="en-AU" w:bidi="ar-SA"/>
        </w:rPr>
      </w:pPr>
      <w:r w:rsidRPr="00CB503F">
        <w:rPr>
          <w:lang w:eastAsia="en-AU" w:bidi="ar-SA"/>
        </w:rPr>
        <w:t xml:space="preserve">There are permissions for the use of </w:t>
      </w:r>
      <w:r>
        <w:rPr>
          <w:lang w:eastAsia="en-AU" w:bidi="ar-SA"/>
        </w:rPr>
        <w:t xml:space="preserve">Ace K </w:t>
      </w:r>
      <w:r w:rsidR="00435AA9">
        <w:rPr>
          <w:lang w:eastAsia="en-AU" w:bidi="ar-SA"/>
        </w:rPr>
        <w:t xml:space="preserve">as </w:t>
      </w:r>
      <w:r>
        <w:rPr>
          <w:lang w:eastAsia="en-AU" w:bidi="ar-SA"/>
        </w:rPr>
        <w:t>an</w:t>
      </w:r>
      <w:r w:rsidRPr="00CB503F">
        <w:rPr>
          <w:lang w:eastAsia="en-AU" w:bidi="ar-SA"/>
        </w:rPr>
        <w:t xml:space="preserve"> intense sweetener </w:t>
      </w:r>
      <w:r>
        <w:rPr>
          <w:lang w:eastAsia="en-AU" w:bidi="ar-SA"/>
        </w:rPr>
        <w:t xml:space="preserve">in chewing gum in </w:t>
      </w:r>
      <w:r w:rsidR="00435AA9">
        <w:rPr>
          <w:lang w:eastAsia="en-AU" w:bidi="ar-SA"/>
        </w:rPr>
        <w:t>f</w:t>
      </w:r>
      <w:r w:rsidRPr="00CB503F">
        <w:rPr>
          <w:lang w:eastAsia="en-AU" w:bidi="ar-SA"/>
        </w:rPr>
        <w:t>ood regulations around the world</w:t>
      </w:r>
      <w:r w:rsidR="001C4AAD">
        <w:rPr>
          <w:lang w:eastAsia="en-AU" w:bidi="ar-SA"/>
        </w:rPr>
        <w:t>, as</w:t>
      </w:r>
      <w:r w:rsidRPr="00CB503F">
        <w:rPr>
          <w:lang w:eastAsia="en-AU" w:bidi="ar-SA"/>
        </w:rPr>
        <w:t xml:space="preserve"> noted below.</w:t>
      </w:r>
    </w:p>
    <w:p w14:paraId="3C304C72" w14:textId="04CEE281" w:rsidR="00CB503F" w:rsidRDefault="00CB503F" w:rsidP="00EA4D57">
      <w:pPr>
        <w:pStyle w:val="Heading4"/>
      </w:pPr>
      <w:r>
        <w:t>1.3.1.1</w:t>
      </w:r>
      <w:r>
        <w:tab/>
        <w:t xml:space="preserve">Codex </w:t>
      </w:r>
    </w:p>
    <w:p w14:paraId="7A9362FF" w14:textId="56E31C57" w:rsidR="00D74467" w:rsidRPr="00290FDA" w:rsidRDefault="00724261" w:rsidP="00E67136">
      <w:pPr>
        <w:rPr>
          <w:rStyle w:val="Hyperlink"/>
          <w:bCs/>
          <w:color w:val="auto"/>
          <w:u w:val="none"/>
        </w:rPr>
      </w:pPr>
      <w:r>
        <w:t xml:space="preserve">Since 2007, </w:t>
      </w:r>
      <w:r w:rsidR="00E46377">
        <w:t xml:space="preserve">the </w:t>
      </w:r>
      <w:r w:rsidR="006A2684" w:rsidRPr="006A2684">
        <w:t xml:space="preserve">Codex Alimentarius </w:t>
      </w:r>
      <w:r>
        <w:t>Gener</w:t>
      </w:r>
      <w:r w:rsidRPr="00B25D3A">
        <w:t>al Standard for Food Additives</w:t>
      </w:r>
      <w:r w:rsidRPr="006A2684">
        <w:t xml:space="preserve"> </w:t>
      </w:r>
      <w:r w:rsidR="009079C8">
        <w:t xml:space="preserve">(Codex Stan 192- 1995) </w:t>
      </w:r>
      <w:r>
        <w:t>has permitted</w:t>
      </w:r>
      <w:r w:rsidR="006A2684" w:rsidRPr="006A2684">
        <w:t xml:space="preserve"> the addition of </w:t>
      </w:r>
      <w:r w:rsidR="00CB23BF">
        <w:t>Ace</w:t>
      </w:r>
      <w:r w:rsidR="003E4B82">
        <w:t xml:space="preserve"> </w:t>
      </w:r>
      <w:r w:rsidR="00CB23BF">
        <w:t xml:space="preserve">K to </w:t>
      </w:r>
      <w:r w:rsidR="004E0E3E">
        <w:t xml:space="preserve">chewing gum </w:t>
      </w:r>
      <w:r w:rsidR="00F86F58">
        <w:t xml:space="preserve">to a maximum level of </w:t>
      </w:r>
      <w:r w:rsidR="004E0E3E">
        <w:t>5000</w:t>
      </w:r>
      <w:r w:rsidR="00F86F58">
        <w:t> </w:t>
      </w:r>
      <w:r w:rsidR="004E0E3E">
        <w:t>mg</w:t>
      </w:r>
      <w:r w:rsidR="00CB23BF">
        <w:t>/kg</w:t>
      </w:r>
      <w:r>
        <w:t xml:space="preserve">. </w:t>
      </w:r>
    </w:p>
    <w:p w14:paraId="4CEF6364" w14:textId="77777777" w:rsidR="00724261" w:rsidRPr="00290FDA" w:rsidRDefault="00724261" w:rsidP="00E67136">
      <w:pPr>
        <w:rPr>
          <w:rStyle w:val="Hyperlink"/>
          <w:bCs/>
          <w:color w:val="auto"/>
          <w:u w:val="none"/>
        </w:rPr>
      </w:pPr>
    </w:p>
    <w:p w14:paraId="5565E744" w14:textId="1DCB7998" w:rsidR="00CB2774" w:rsidRDefault="00CB2774" w:rsidP="00E67136">
      <w:r>
        <w:rPr>
          <w:rStyle w:val="Hyperlink"/>
          <w:bCs/>
          <w:color w:val="auto"/>
          <w:u w:val="none"/>
        </w:rPr>
        <w:t xml:space="preserve">There are two notes attached to this permission. The first </w:t>
      </w:r>
      <w:r w:rsidR="00194425">
        <w:rPr>
          <w:rStyle w:val="Hyperlink"/>
          <w:bCs/>
          <w:color w:val="auto"/>
          <w:u w:val="none"/>
        </w:rPr>
        <w:t xml:space="preserve">(note 161) </w:t>
      </w:r>
      <w:r>
        <w:rPr>
          <w:rStyle w:val="Hyperlink"/>
          <w:bCs/>
          <w:color w:val="auto"/>
          <w:u w:val="none"/>
        </w:rPr>
        <w:t>is clarification that the permission is subject to national legislation of the importing country, in particular with respect to justification for the use of additives. Th</w:t>
      </w:r>
      <w:r w:rsidR="002C7129">
        <w:rPr>
          <w:rStyle w:val="Hyperlink"/>
          <w:bCs/>
          <w:color w:val="auto"/>
          <w:u w:val="none"/>
        </w:rPr>
        <w:t>is</w:t>
      </w:r>
      <w:r>
        <w:rPr>
          <w:rStyle w:val="Hyperlink"/>
          <w:bCs/>
          <w:color w:val="auto"/>
          <w:u w:val="none"/>
        </w:rPr>
        <w:t xml:space="preserve"> Codex justification is consistent with the written policy guideline “Addition to Food Substances other than Vitamins or Minerals”, formulated by the</w:t>
      </w:r>
      <w:r w:rsidRPr="00CB2774">
        <w:rPr>
          <w:b/>
        </w:rPr>
        <w:t xml:space="preserve"> </w:t>
      </w:r>
      <w:r w:rsidRPr="00CB2774">
        <w:t>Ministerial Council</w:t>
      </w:r>
      <w:r w:rsidRPr="005E2F53">
        <w:rPr>
          <w:rStyle w:val="FootnoteReference"/>
        </w:rPr>
        <w:footnoteReference w:id="3"/>
      </w:r>
      <w:r w:rsidR="002C7129">
        <w:t>.</w:t>
      </w:r>
    </w:p>
    <w:p w14:paraId="7DAF7E0A" w14:textId="77777777" w:rsidR="002C7129" w:rsidRDefault="002C7129" w:rsidP="00E67136"/>
    <w:p w14:paraId="6C4A89F7" w14:textId="47B1A20B" w:rsidR="002C7129" w:rsidRDefault="002C7129" w:rsidP="00E67136">
      <w:pPr>
        <w:rPr>
          <w:bCs/>
          <w:color w:val="00B050"/>
        </w:rPr>
      </w:pPr>
      <w:r>
        <w:t xml:space="preserve">The second note </w:t>
      </w:r>
      <w:r w:rsidR="00055421">
        <w:t xml:space="preserve">(note 188) </w:t>
      </w:r>
      <w:r>
        <w:t xml:space="preserve">states “Not to exceed the maximum use level for acesulphame potassium [INS 950] singly or in combination with aspartame-acesulphame salt [INS 962].” The second part of this statement is similar to the “unity principle” in the Code, but only applies when Ace K is used in combination with aspartame-acesulphame salt </w:t>
      </w:r>
      <w:r w:rsidR="00435AA9">
        <w:t>i.e.</w:t>
      </w:r>
      <w:r>
        <w:t xml:space="preserve"> it does not apply when Ace K is used in combination with other food additive sweeteners such as aspartame. </w:t>
      </w:r>
    </w:p>
    <w:p w14:paraId="6A588AE4" w14:textId="0F8506A6" w:rsidR="00CB503F" w:rsidRDefault="00CB503F" w:rsidP="00EA4D57">
      <w:pPr>
        <w:pStyle w:val="Heading4"/>
      </w:pPr>
      <w:r>
        <w:t>1.3.1.2</w:t>
      </w:r>
      <w:r>
        <w:tab/>
      </w:r>
      <w:r w:rsidR="006A2684" w:rsidRPr="00CB503F">
        <w:t>European Union</w:t>
      </w:r>
      <w:r w:rsidR="00184101">
        <w:t xml:space="preserve"> (EU)</w:t>
      </w:r>
    </w:p>
    <w:p w14:paraId="1BB22BFC" w14:textId="1399B5E7" w:rsidR="00CB503F" w:rsidRPr="00C534E0" w:rsidRDefault="00C77496" w:rsidP="00CB503F">
      <w:r w:rsidRPr="004E2794">
        <w:t>The European Union Commissi</w:t>
      </w:r>
      <w:r w:rsidR="00E1108E">
        <w:t xml:space="preserve">on Regulation (EU) No. </w:t>
      </w:r>
      <w:r w:rsidR="00AC56A7">
        <w:t>1129/2011</w:t>
      </w:r>
      <w:r w:rsidRPr="004E2794">
        <w:t xml:space="preserve"> permits the use of Ace K in chewing gum, with no added sugar up to a maximum level of 2000 mg/kg</w:t>
      </w:r>
      <w:r w:rsidR="00CB503F">
        <w:t xml:space="preserve">. </w:t>
      </w:r>
      <w:r w:rsidR="00E1108E">
        <w:t xml:space="preserve"> When used as a food additive </w:t>
      </w:r>
      <w:r w:rsidR="00184101">
        <w:t xml:space="preserve">in chewing gum, </w:t>
      </w:r>
      <w:r w:rsidR="00E1108E">
        <w:t>for sweetening purposes</w:t>
      </w:r>
      <w:r w:rsidR="00184101">
        <w:t xml:space="preserve">, there is no </w:t>
      </w:r>
      <w:r w:rsidR="00CB503F">
        <w:t>unity</w:t>
      </w:r>
      <w:r w:rsidR="00184101">
        <w:t>-type</w:t>
      </w:r>
      <w:r w:rsidR="00CB503F">
        <w:t xml:space="preserve"> principle</w:t>
      </w:r>
      <w:r w:rsidR="00184101">
        <w:t xml:space="preserve">. </w:t>
      </w:r>
      <w:r w:rsidR="00CB503F">
        <w:t xml:space="preserve">Therefore even when Ace K is added to chewing </w:t>
      </w:r>
      <w:r w:rsidR="00435AA9">
        <w:t xml:space="preserve">gum </w:t>
      </w:r>
      <w:r w:rsidR="00CB503F">
        <w:t xml:space="preserve">as </w:t>
      </w:r>
      <w:r w:rsidR="002C7129">
        <w:t xml:space="preserve">part of </w:t>
      </w:r>
      <w:r w:rsidR="00CB503F">
        <w:t>a blend of intense sweeteners</w:t>
      </w:r>
      <w:r w:rsidR="002C7129">
        <w:t xml:space="preserve"> </w:t>
      </w:r>
      <w:r w:rsidR="00CB503F">
        <w:t xml:space="preserve">the only limit is the maximum </w:t>
      </w:r>
      <w:r w:rsidR="00184101">
        <w:t xml:space="preserve">level of 2000 mg/kg, </w:t>
      </w:r>
      <w:r w:rsidR="00CB503F">
        <w:t>i.e</w:t>
      </w:r>
      <w:r w:rsidR="00184101">
        <w:t>.</w:t>
      </w:r>
      <w:r w:rsidR="00CB503F">
        <w:t xml:space="preserve"> the amount used in a blend is not restricted by the presence of other additives </w:t>
      </w:r>
      <w:r w:rsidR="00184101">
        <w:t>performing a sweetening</w:t>
      </w:r>
      <w:r w:rsidR="00CB503F">
        <w:t xml:space="preserve"> function.</w:t>
      </w:r>
      <w:r w:rsidR="00184101">
        <w:t xml:space="preserve"> </w:t>
      </w:r>
    </w:p>
    <w:p w14:paraId="0C575C05" w14:textId="6BCBF80C" w:rsidR="00F22D8F" w:rsidRPr="00EA4D57" w:rsidRDefault="00290FDA" w:rsidP="00EA4D57">
      <w:pPr>
        <w:pStyle w:val="Heading4"/>
      </w:pPr>
      <w:r>
        <w:t>1.3.1.3</w:t>
      </w:r>
      <w:r>
        <w:tab/>
      </w:r>
      <w:r w:rsidR="00327BAB" w:rsidRPr="00327BAB">
        <w:t>U</w:t>
      </w:r>
      <w:r w:rsidR="003F1A8F">
        <w:t xml:space="preserve">nited </w:t>
      </w:r>
      <w:r w:rsidR="00327BAB" w:rsidRPr="00327BAB">
        <w:t>S</w:t>
      </w:r>
      <w:r w:rsidR="003F1A8F">
        <w:t>tates of America</w:t>
      </w:r>
      <w:r w:rsidR="00C85636">
        <w:t xml:space="preserve"> (US</w:t>
      </w:r>
      <w:r>
        <w:t>A</w:t>
      </w:r>
      <w:r w:rsidR="00C85636">
        <w:t>)</w:t>
      </w:r>
    </w:p>
    <w:p w14:paraId="38AA2705" w14:textId="2B1F81EF" w:rsidR="006A2684" w:rsidRPr="00EA4D57" w:rsidRDefault="006A2684" w:rsidP="00F22D8F">
      <w:r w:rsidRPr="004E2794">
        <w:t xml:space="preserve">The US </w:t>
      </w:r>
      <w:r w:rsidR="00E12F8A">
        <w:t xml:space="preserve">FDA (2014) </w:t>
      </w:r>
      <w:r w:rsidRPr="004E2794">
        <w:t xml:space="preserve">Code of Federal Regulations Chapter 21, </w:t>
      </w:r>
      <w:r w:rsidR="00577DC1" w:rsidRPr="004E2794">
        <w:t>CFR 172.800 permits the use of Ace</w:t>
      </w:r>
      <w:r w:rsidR="003E4B82" w:rsidRPr="004E2794">
        <w:t xml:space="preserve"> </w:t>
      </w:r>
      <w:r w:rsidR="00577DC1" w:rsidRPr="004E2794">
        <w:t xml:space="preserve">K in foods </w:t>
      </w:r>
      <w:r w:rsidR="00682294" w:rsidRPr="004E2794">
        <w:t>in accordance with GMP and in an amount not to exceed that reasonably required to meet its technical function in food.</w:t>
      </w:r>
    </w:p>
    <w:p w14:paraId="368A916C" w14:textId="7DCDBC21" w:rsidR="00F22D8F" w:rsidRPr="00EA4D57" w:rsidRDefault="0036330D" w:rsidP="00EA4D57">
      <w:pPr>
        <w:pStyle w:val="Heading4"/>
      </w:pPr>
      <w:r>
        <w:t>1.3.1.4</w:t>
      </w:r>
      <w:r>
        <w:tab/>
      </w:r>
      <w:r w:rsidR="006A2684" w:rsidRPr="00AC72CF">
        <w:t>Canada</w:t>
      </w:r>
    </w:p>
    <w:p w14:paraId="259F96A8" w14:textId="485E0699" w:rsidR="00AC72CF" w:rsidRPr="00EA4D57" w:rsidRDefault="00045279" w:rsidP="00F22D8F">
      <w:r>
        <w:t xml:space="preserve">Health </w:t>
      </w:r>
      <w:r w:rsidR="006A2684" w:rsidRPr="004E2794">
        <w:t>Canada</w:t>
      </w:r>
      <w:r>
        <w:t xml:space="preserve"> </w:t>
      </w:r>
      <w:r w:rsidR="006A2684" w:rsidRPr="004E2794">
        <w:t>Food and Drug Regulations</w:t>
      </w:r>
      <w:r>
        <w:t xml:space="preserve"> (2013)</w:t>
      </w:r>
      <w:r w:rsidR="0010321D" w:rsidRPr="004E2794">
        <w:t xml:space="preserve">, </w:t>
      </w:r>
      <w:r w:rsidR="00577DC1" w:rsidRPr="004E2794">
        <w:t xml:space="preserve">Division 16, Table IX, item </w:t>
      </w:r>
      <w:r w:rsidR="0010321D" w:rsidRPr="004E2794">
        <w:t>A</w:t>
      </w:r>
      <w:r w:rsidR="006A2684" w:rsidRPr="004E2794">
        <w:t>.0</w:t>
      </w:r>
      <w:r w:rsidR="0010321D" w:rsidRPr="004E2794">
        <w:t>1 permit</w:t>
      </w:r>
      <w:r w:rsidR="00577DC1" w:rsidRPr="004E2794">
        <w:t>s</w:t>
      </w:r>
      <w:r w:rsidR="0010321D" w:rsidRPr="004E2794">
        <w:t xml:space="preserve"> the use of</w:t>
      </w:r>
      <w:r w:rsidR="006A2684" w:rsidRPr="004E2794">
        <w:t xml:space="preserve"> </w:t>
      </w:r>
      <w:r w:rsidR="00C77496" w:rsidRPr="004E2794">
        <w:t xml:space="preserve">Ace </w:t>
      </w:r>
      <w:r w:rsidR="001B04EC" w:rsidRPr="004E2794">
        <w:t>K in</w:t>
      </w:r>
      <w:r w:rsidR="0010321D" w:rsidRPr="004E2794">
        <w:t xml:space="preserve"> chewing gum at a maximum level of 0.5%</w:t>
      </w:r>
      <w:r w:rsidR="00F86F58">
        <w:t xml:space="preserve"> (5000 mg/kg)</w:t>
      </w:r>
      <w:r w:rsidR="0010321D" w:rsidRPr="004E2794">
        <w:t>.</w:t>
      </w:r>
      <w:r w:rsidR="00E7286C">
        <w:t xml:space="preserve"> There is no unity-type principle.</w:t>
      </w:r>
    </w:p>
    <w:p w14:paraId="2C389E94" w14:textId="139B10E7" w:rsidR="00F22D8F" w:rsidRPr="00F22D8F" w:rsidRDefault="0036330D" w:rsidP="00EA4D57">
      <w:pPr>
        <w:pStyle w:val="Heading4"/>
        <w:rPr>
          <w:rStyle w:val="FSBulletChar"/>
          <w:b w:val="0"/>
          <w:bCs w:val="0"/>
        </w:rPr>
      </w:pPr>
      <w:r w:rsidRPr="0036330D">
        <w:t>1.3.1.5</w:t>
      </w:r>
      <w:r w:rsidR="00D57614">
        <w:rPr>
          <w:rStyle w:val="FSBulletChar"/>
          <w:b w:val="0"/>
        </w:rPr>
        <w:tab/>
      </w:r>
      <w:r w:rsidR="006C5B0E" w:rsidRPr="0036330D">
        <w:rPr>
          <w:rStyle w:val="FSBulletChar"/>
        </w:rPr>
        <w:t>Japan</w:t>
      </w:r>
    </w:p>
    <w:p w14:paraId="3041CA58" w14:textId="0AE42654" w:rsidR="004E2794" w:rsidRDefault="000367CE" w:rsidP="00F22D8F">
      <w:pPr>
        <w:pStyle w:val="FSBullet"/>
        <w:numPr>
          <w:ilvl w:val="0"/>
          <w:numId w:val="0"/>
        </w:numPr>
      </w:pPr>
      <w:r w:rsidRPr="00AC72CF">
        <w:rPr>
          <w:rStyle w:val="FSBulletChar"/>
        </w:rPr>
        <w:t>Japan’s</w:t>
      </w:r>
      <w:r>
        <w:t xml:space="preserve"> Food Sanitation Act</w:t>
      </w:r>
      <w:r w:rsidR="004830DB">
        <w:t>,</w:t>
      </w:r>
      <w:r w:rsidR="00CC068A">
        <w:t xml:space="preserve">(2015), </w:t>
      </w:r>
      <w:r w:rsidR="004830DB">
        <w:t>Enforcement Regulations, Article 12, permit</w:t>
      </w:r>
      <w:r w:rsidR="00435AA9">
        <w:t>s</w:t>
      </w:r>
      <w:r w:rsidR="004830DB">
        <w:t xml:space="preserve"> the use of Ace K in chewing gum up to a MPL of 5000 mg/kg</w:t>
      </w:r>
      <w:r w:rsidR="00CC068A">
        <w:t xml:space="preserve">. </w:t>
      </w:r>
      <w:r w:rsidR="00AC72CF">
        <w:t xml:space="preserve"> </w:t>
      </w:r>
      <w:r w:rsidR="00E7286C">
        <w:t>There is no unity-type principle.</w:t>
      </w:r>
    </w:p>
    <w:p w14:paraId="658A83F1" w14:textId="4540AADC" w:rsidR="00AF387F" w:rsidRPr="00AC7937" w:rsidRDefault="00F33BB8" w:rsidP="006A2684">
      <w:pPr>
        <w:pStyle w:val="Heading2"/>
        <w:rPr>
          <w:u w:color="FFFF00"/>
        </w:rPr>
      </w:pPr>
      <w:bookmarkStart w:id="25" w:name="_Toc427676496"/>
      <w:r>
        <w:rPr>
          <w:u w:color="FFFF00"/>
        </w:rPr>
        <w:t>1</w:t>
      </w:r>
      <w:r w:rsidR="00606C88">
        <w:rPr>
          <w:u w:color="FFFF00"/>
        </w:rPr>
        <w:t>.4</w:t>
      </w:r>
      <w:r w:rsidR="001542D8">
        <w:rPr>
          <w:u w:color="FFFF00"/>
        </w:rPr>
        <w:tab/>
      </w:r>
      <w:r w:rsidR="00741EFE">
        <w:rPr>
          <w:u w:color="FFFF00"/>
        </w:rPr>
        <w:t xml:space="preserve">Reasons for </w:t>
      </w:r>
      <w:r w:rsidR="003B368B" w:rsidRPr="00AC7937">
        <w:rPr>
          <w:u w:color="FFFF00"/>
        </w:rPr>
        <w:t>accepting</w:t>
      </w:r>
      <w:r w:rsidR="003B368B">
        <w:rPr>
          <w:u w:color="FFFF00"/>
        </w:rPr>
        <w:t xml:space="preserve"> the</w:t>
      </w:r>
      <w:r w:rsidR="001D5CB3">
        <w:rPr>
          <w:u w:color="FFFF00"/>
        </w:rPr>
        <w:t xml:space="preserve"> </w:t>
      </w:r>
      <w:r w:rsidR="00741EFE" w:rsidRPr="00AC7937">
        <w:rPr>
          <w:u w:color="FFFF00"/>
        </w:rPr>
        <w:t>A</w:t>
      </w:r>
      <w:r w:rsidR="00AF387F" w:rsidRPr="00AC7937">
        <w:rPr>
          <w:u w:color="FFFF00"/>
        </w:rPr>
        <w:t>pplication</w:t>
      </w:r>
      <w:bookmarkEnd w:id="21"/>
      <w:bookmarkEnd w:id="25"/>
      <w:r w:rsidR="00180C41" w:rsidRPr="00AC7937">
        <w:rPr>
          <w:u w:color="FFFF00"/>
        </w:rPr>
        <w:t xml:space="preserve"> </w:t>
      </w:r>
      <w:bookmarkEnd w:id="22"/>
    </w:p>
    <w:p w14:paraId="658A83F2" w14:textId="1B98B9CD" w:rsidR="00290FDA"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3"/>
      <w:bookmarkEnd w:id="4"/>
      <w:bookmarkEnd w:id="5"/>
      <w:bookmarkEnd w:id="6"/>
      <w:bookmarkEnd w:id="7"/>
      <w:bookmarkEnd w:id="23"/>
      <w:r w:rsidRPr="00AC7937">
        <w:t xml:space="preserve">The Application was accepted for assessment </w:t>
      </w:r>
      <w:r w:rsidR="00741EFE" w:rsidRPr="00AC7937">
        <w:t>because</w:t>
      </w:r>
      <w:r w:rsidRPr="00AC7937">
        <w:t>:</w:t>
      </w:r>
      <w:r w:rsidR="00290FDA">
        <w:br w:type="page"/>
      </w:r>
    </w:p>
    <w:p w14:paraId="658A83F4" w14:textId="49F3B1D2" w:rsidR="00180C41" w:rsidRPr="00910A30" w:rsidRDefault="00741EFE" w:rsidP="00910A30">
      <w:pPr>
        <w:pStyle w:val="FSBullet1"/>
      </w:pPr>
      <w:r w:rsidRPr="00910A30">
        <w:lastRenderedPageBreak/>
        <w:t>it complied</w:t>
      </w:r>
      <w:r w:rsidR="00180C41" w:rsidRPr="00910A30">
        <w:t xml:space="preserve"> with the procedural requirements under s</w:t>
      </w:r>
      <w:r w:rsidR="00944BA4" w:rsidRPr="00910A30">
        <w:t>ubsection</w:t>
      </w:r>
      <w:r w:rsidR="00180C41" w:rsidRPr="00910A30">
        <w:t xml:space="preserve"> 22(2)</w:t>
      </w:r>
    </w:p>
    <w:p w14:paraId="658A83F6" w14:textId="36E3CB8F" w:rsidR="00180C41" w:rsidRPr="00910A30" w:rsidRDefault="00741EFE" w:rsidP="00910A30">
      <w:pPr>
        <w:pStyle w:val="FSBullet1"/>
      </w:pPr>
      <w:r w:rsidRPr="00910A30">
        <w:t xml:space="preserve">it related to a matter that warranted </w:t>
      </w:r>
      <w:r w:rsidR="00180C41" w:rsidRPr="00910A30">
        <w:t>the variation of a food regulatory measure</w:t>
      </w:r>
      <w:r w:rsidR="00435AA9" w:rsidRPr="00910A30">
        <w:t xml:space="preserve">. </w:t>
      </w:r>
    </w:p>
    <w:p w14:paraId="658A83FA" w14:textId="77777777" w:rsidR="00DE79D9" w:rsidRDefault="00D3171B" w:rsidP="00DE79D9">
      <w:pPr>
        <w:pStyle w:val="Heading2"/>
      </w:pPr>
      <w:bookmarkStart w:id="33" w:name="_Toc427676497"/>
      <w:r>
        <w:t>1</w:t>
      </w:r>
      <w:r w:rsidR="00606C88">
        <w:t>.5</w:t>
      </w:r>
      <w:r w:rsidR="00DE79D9">
        <w:tab/>
        <w:t>Procedure for assessment</w:t>
      </w:r>
      <w:bookmarkEnd w:id="33"/>
    </w:p>
    <w:p w14:paraId="658A83FB" w14:textId="08AAADCD" w:rsidR="00DE79D9" w:rsidRDefault="00DE79D9" w:rsidP="00DE79D9">
      <w:r w:rsidRPr="00932F14">
        <w:t xml:space="preserve">The </w:t>
      </w:r>
      <w:r w:rsidRPr="00590C86">
        <w:t>A</w:t>
      </w:r>
      <w:r w:rsidR="008A74AC" w:rsidRPr="00590C86">
        <w:t>pplication</w:t>
      </w:r>
      <w:r w:rsidRPr="00590C86">
        <w:t xml:space="preserve"> is being assessed under the General </w:t>
      </w:r>
      <w:r>
        <w:t>P</w:t>
      </w:r>
      <w:r w:rsidRPr="00932F14">
        <w:t>rocedure.</w:t>
      </w:r>
    </w:p>
    <w:p w14:paraId="658A83FC" w14:textId="77777777" w:rsidR="00DE79D9" w:rsidRPr="00D062E4" w:rsidRDefault="00DE79D9" w:rsidP="00180C41"/>
    <w:p w14:paraId="658A83FD" w14:textId="77777777" w:rsidR="00AF387F" w:rsidRPr="00180C41" w:rsidRDefault="00D3171B" w:rsidP="00180C41">
      <w:pPr>
        <w:pStyle w:val="Heading1"/>
      </w:pPr>
      <w:bookmarkStart w:id="34" w:name="_Toc300933424"/>
      <w:bookmarkStart w:id="35" w:name="_Toc427676498"/>
      <w:r>
        <w:t>2</w:t>
      </w:r>
      <w:r w:rsidR="001542D8">
        <w:tab/>
      </w:r>
      <w:r w:rsidR="00350DBD">
        <w:t>S</w:t>
      </w:r>
      <w:r w:rsidR="00FB1533">
        <w:t>ummary of the a</w:t>
      </w:r>
      <w:r w:rsidR="00FD2FBE">
        <w:t>ssessment</w:t>
      </w:r>
      <w:bookmarkEnd w:id="26"/>
      <w:bookmarkEnd w:id="34"/>
      <w:bookmarkEnd w:id="35"/>
    </w:p>
    <w:p w14:paraId="658A8413" w14:textId="64979BEA" w:rsidR="004F69F6" w:rsidRPr="00932F14" w:rsidRDefault="00D3171B" w:rsidP="004646F8">
      <w:pPr>
        <w:pStyle w:val="Heading2"/>
      </w:pPr>
      <w:bookmarkStart w:id="36" w:name="_Toc300933438"/>
      <w:bookmarkStart w:id="37" w:name="_Toc286391009"/>
      <w:bookmarkStart w:id="38" w:name="_Toc300933425"/>
      <w:bookmarkStart w:id="39" w:name="_Toc427676499"/>
      <w:bookmarkStart w:id="40" w:name="_Toc120358583"/>
      <w:bookmarkStart w:id="41" w:name="_Toc175381440"/>
      <w:r w:rsidRPr="00531B21">
        <w:t>2</w:t>
      </w:r>
      <w:r w:rsidR="00F33BB8" w:rsidRPr="00531B21">
        <w:t>.1</w:t>
      </w:r>
      <w:r w:rsidR="00F33BB8" w:rsidRPr="0072150F">
        <w:rPr>
          <w:color w:val="00B050"/>
        </w:rPr>
        <w:tab/>
      </w:r>
      <w:bookmarkEnd w:id="36"/>
      <w:r w:rsidR="004F69F6" w:rsidRPr="00932F14">
        <w:t xml:space="preserve">Risk </w:t>
      </w:r>
      <w:r w:rsidR="00741EFE">
        <w:t>a</w:t>
      </w:r>
      <w:r w:rsidR="004F69F6" w:rsidRPr="00932F14">
        <w:t>ssessment</w:t>
      </w:r>
      <w:bookmarkEnd w:id="37"/>
      <w:bookmarkEnd w:id="38"/>
      <w:bookmarkEnd w:id="39"/>
      <w:r w:rsidR="004F69F6" w:rsidRPr="00932F14">
        <w:t xml:space="preserve"> </w:t>
      </w:r>
      <w:bookmarkEnd w:id="40"/>
      <w:bookmarkEnd w:id="41"/>
    </w:p>
    <w:p w14:paraId="6A3A5266" w14:textId="473424DA" w:rsidR="00531B21" w:rsidRPr="00531B21" w:rsidRDefault="00531B21" w:rsidP="00531B21">
      <w:pPr>
        <w:rPr>
          <w:bCs/>
          <w:lang w:val="en-AU"/>
        </w:rPr>
      </w:pPr>
      <w:r w:rsidRPr="009017FB">
        <w:rPr>
          <w:lang w:val="en-AU" w:eastAsia="en-AU"/>
        </w:rPr>
        <w:t>FSANZ’s risk assessment is provided in SD</w:t>
      </w:r>
      <w:r w:rsidR="00134FF4">
        <w:rPr>
          <w:lang w:val="en-AU" w:eastAsia="en-AU"/>
        </w:rPr>
        <w:t>2</w:t>
      </w:r>
      <w:r w:rsidRPr="009017FB">
        <w:rPr>
          <w:lang w:val="en-AU" w:eastAsia="en-AU"/>
        </w:rPr>
        <w:t xml:space="preserve">. In summary, </w:t>
      </w:r>
      <w:r w:rsidR="009017FB" w:rsidRPr="009017FB">
        <w:rPr>
          <w:lang w:val="en-AU" w:eastAsia="en-AU"/>
        </w:rPr>
        <w:t xml:space="preserve">there are no public health and safety concerns associated with the proposed increase in the MPL of Ace K in chewing gum. </w:t>
      </w:r>
      <w:r w:rsidRPr="009017FB">
        <w:rPr>
          <w:lang w:val="en-AU" w:eastAsia="en-AU"/>
        </w:rPr>
        <w:t xml:space="preserve"> </w:t>
      </w:r>
      <w:r w:rsidRPr="009017FB">
        <w:rPr>
          <w:bCs/>
          <w:lang w:val="en-AU"/>
        </w:rPr>
        <w:t xml:space="preserve"> </w:t>
      </w:r>
    </w:p>
    <w:p w14:paraId="7E3A0DCD" w14:textId="77777777" w:rsidR="00531B21" w:rsidRDefault="00531B21" w:rsidP="00180C41">
      <w:pPr>
        <w:rPr>
          <w:color w:val="00B050"/>
        </w:rPr>
      </w:pPr>
    </w:p>
    <w:p w14:paraId="160CC832" w14:textId="3519E939" w:rsidR="00DF5106" w:rsidRDefault="00DF5106" w:rsidP="00DF5106">
      <w:bookmarkStart w:id="42" w:name="_Toc175381442"/>
      <w:bookmarkStart w:id="43" w:name="_Toc286391010"/>
      <w:bookmarkStart w:id="44" w:name="_Toc300933426"/>
      <w:r>
        <w:t xml:space="preserve">FSANZ considers the Acceptable Daily Intake (ADI) of 0–15 mg Ace K per kg bodyweight established by the </w:t>
      </w:r>
      <w:r w:rsidRPr="00EF2A08">
        <w:t>Joint FAO/WHO Expert Committee on Food Additives</w:t>
      </w:r>
      <w:r>
        <w:t xml:space="preserve"> (JECFA) to be a suitable health-based guidance value to compare with estimated dietary exposure. No subsequent studies have been located which could be considered to affect this ADI.</w:t>
      </w:r>
    </w:p>
    <w:p w14:paraId="0368F358" w14:textId="77777777" w:rsidR="00DF5106" w:rsidRDefault="00DF5106" w:rsidP="00DF5106"/>
    <w:p w14:paraId="6C4C2DE4" w14:textId="522359DB" w:rsidR="00DF5106" w:rsidRPr="00EF2A08" w:rsidRDefault="00DF5106" w:rsidP="00DF5106">
      <w:r>
        <w:t xml:space="preserve">A dietary exposure assessment has been undertaken using </w:t>
      </w:r>
      <w:r w:rsidRPr="00C50208">
        <w:t>food consumption data from the available Australian and New Zealand national nutrition surveys</w:t>
      </w:r>
      <w:r>
        <w:t>,</w:t>
      </w:r>
      <w:r w:rsidRPr="00C50208">
        <w:t xml:space="preserve"> </w:t>
      </w:r>
      <w:r>
        <w:t xml:space="preserve">and data on Australia/New Zealand consumption of foods containing intense sweeteners. Using conservative assumptions to account for the additional dietary exposure resulting from the </w:t>
      </w:r>
      <w:r w:rsidR="00F86F58">
        <w:t xml:space="preserve">proposed </w:t>
      </w:r>
      <w:r>
        <w:t xml:space="preserve">increase in the MPL for chewing gum, estimated </w:t>
      </w:r>
      <w:r w:rsidRPr="00334759">
        <w:t xml:space="preserve">dietary exposures </w:t>
      </w:r>
      <w:r>
        <w:t>for high (90</w:t>
      </w:r>
      <w:r w:rsidRPr="00334759">
        <w:rPr>
          <w:vertAlign w:val="superscript"/>
        </w:rPr>
        <w:t>th</w:t>
      </w:r>
      <w:r w:rsidRPr="00334759">
        <w:t xml:space="preserve"> percentile</w:t>
      </w:r>
      <w:r>
        <w:t>) consumers</w:t>
      </w:r>
      <w:r w:rsidRPr="00334759">
        <w:t xml:space="preserve"> were </w:t>
      </w:r>
      <w:r>
        <w:t>6–</w:t>
      </w:r>
      <w:r w:rsidRPr="00334759">
        <w:t>20% of the ADI for the population groups assessed</w:t>
      </w:r>
      <w:r>
        <w:t>.</w:t>
      </w:r>
    </w:p>
    <w:p w14:paraId="41896323" w14:textId="77777777" w:rsidR="00DF5106" w:rsidRDefault="00DF5106" w:rsidP="00DF5106"/>
    <w:p w14:paraId="4EAD115A" w14:textId="4CD04B4F" w:rsidR="00DF5106" w:rsidRPr="00E23629" w:rsidRDefault="00435AA9" w:rsidP="00DF5106">
      <w:pPr>
        <w:rPr>
          <w:rFonts w:cs="Arial"/>
        </w:rPr>
      </w:pPr>
      <w:r>
        <w:rPr>
          <w:rFonts w:cs="Arial"/>
        </w:rPr>
        <w:t xml:space="preserve">FSANZ concludes </w:t>
      </w:r>
      <w:r w:rsidR="00DF5106">
        <w:rPr>
          <w:rFonts w:cs="Arial"/>
        </w:rPr>
        <w:t xml:space="preserve">that the proposed increase in the MPL for Ace K in chewing gum from 2000 mg/kg to 5000 mg/kg </w:t>
      </w:r>
      <w:r w:rsidR="00F86F58">
        <w:rPr>
          <w:rFonts w:cs="Arial"/>
        </w:rPr>
        <w:t xml:space="preserve">would </w:t>
      </w:r>
      <w:r w:rsidR="00DF5106">
        <w:rPr>
          <w:rFonts w:cs="Arial"/>
        </w:rPr>
        <w:t xml:space="preserve">result in estimated dietary exposure to Ace K that is </w:t>
      </w:r>
      <w:r w:rsidR="00F86F58">
        <w:rPr>
          <w:rFonts w:cs="Arial"/>
        </w:rPr>
        <w:t xml:space="preserve">well </w:t>
      </w:r>
      <w:r w:rsidR="00DF5106">
        <w:rPr>
          <w:rFonts w:cs="Arial"/>
        </w:rPr>
        <w:t>below the ADI of 15 mg/kg bw. Therefore, there are no public health and safety concerns associated with the proposed increase in the MPL for Ace K in chewing gum.</w:t>
      </w:r>
    </w:p>
    <w:p w14:paraId="658A8415" w14:textId="1A982799" w:rsidR="004F69F6" w:rsidRDefault="00D3171B" w:rsidP="004646F8">
      <w:pPr>
        <w:pStyle w:val="Heading2"/>
      </w:pPr>
      <w:bookmarkStart w:id="45" w:name="_Toc427676500"/>
      <w:r>
        <w:t>2</w:t>
      </w:r>
      <w:r w:rsidR="0045556F">
        <w:t>.</w:t>
      </w:r>
      <w:r w:rsidR="00590C86">
        <w:t>2</w:t>
      </w:r>
      <w:r w:rsidR="00271F00">
        <w:tab/>
      </w:r>
      <w:bookmarkEnd w:id="42"/>
      <w:bookmarkEnd w:id="43"/>
      <w:bookmarkEnd w:id="44"/>
      <w:r w:rsidR="0045556F">
        <w:t>R</w:t>
      </w:r>
      <w:r w:rsidR="00707E72">
        <w:t>isk m</w:t>
      </w:r>
      <w:r w:rsidR="008A35FB">
        <w:t>anagement</w:t>
      </w:r>
      <w:bookmarkEnd w:id="45"/>
    </w:p>
    <w:p w14:paraId="1EA2A315" w14:textId="77777777" w:rsidR="00276BB3" w:rsidRPr="00350446" w:rsidRDefault="00276BB3" w:rsidP="00910A30">
      <w:pPr>
        <w:pStyle w:val="Heading3"/>
      </w:pPr>
      <w:bookmarkStart w:id="46" w:name="_Toc408583004"/>
      <w:bookmarkStart w:id="47" w:name="_Toc427676501"/>
      <w:bookmarkStart w:id="48" w:name="_Toc300761910"/>
      <w:r w:rsidRPr="00350446">
        <w:t>2.2.1</w:t>
      </w:r>
      <w:r w:rsidRPr="00350446">
        <w:tab/>
        <w:t>Levels of addition</w:t>
      </w:r>
      <w:bookmarkEnd w:id="46"/>
      <w:bookmarkEnd w:id="47"/>
      <w:r w:rsidRPr="00350446">
        <w:t xml:space="preserve"> </w:t>
      </w:r>
    </w:p>
    <w:p w14:paraId="0CBEB1EE" w14:textId="6B0E54EE" w:rsidR="00276BB3" w:rsidRDefault="00AB68CF" w:rsidP="00276BB3">
      <w:bookmarkStart w:id="49" w:name="_Toc408583005"/>
      <w:r>
        <w:t>T</w:t>
      </w:r>
      <w:r w:rsidR="00276BB3" w:rsidRPr="00276BB3">
        <w:t xml:space="preserve">his application is an extension to the use of </w:t>
      </w:r>
      <w:r w:rsidR="00276BB3">
        <w:t xml:space="preserve">Ace K </w:t>
      </w:r>
      <w:r w:rsidR="001B04EC">
        <w:t xml:space="preserve">in chewing gum. In the absence of any identified </w:t>
      </w:r>
      <w:r w:rsidR="00276BB3" w:rsidRPr="00276BB3">
        <w:t xml:space="preserve">public health or safety issues </w:t>
      </w:r>
      <w:r w:rsidR="001B04EC">
        <w:t xml:space="preserve">associated with </w:t>
      </w:r>
      <w:r w:rsidR="00276BB3" w:rsidRPr="00276BB3">
        <w:t xml:space="preserve">this extended use, FSANZ proposes to permit the use of </w:t>
      </w:r>
      <w:r>
        <w:t>Ace K in chewing gum up to a MPL of 5000 mg/kg, as requ</w:t>
      </w:r>
      <w:r w:rsidR="00662BD8">
        <w:t>ested.</w:t>
      </w:r>
    </w:p>
    <w:p w14:paraId="144D0523" w14:textId="77777777" w:rsidR="001B04EC" w:rsidRDefault="001B04EC" w:rsidP="00BF6EAE"/>
    <w:p w14:paraId="21C8EBD9" w14:textId="026D0FAB" w:rsidR="00AD2061" w:rsidRDefault="00BF6EAE" w:rsidP="00BF6EAE">
      <w:r>
        <w:t>Ace K is commonly used with other sweetener</w:t>
      </w:r>
      <w:r w:rsidR="00520D04">
        <w:t>s in chewing gum and as a consequence the “unity principle” provision (see section 1.3.1 above</w:t>
      </w:r>
      <w:r w:rsidR="0013402E">
        <w:t xml:space="preserve"> and SD1</w:t>
      </w:r>
      <w:r w:rsidR="00520D04">
        <w:t xml:space="preserve">) </w:t>
      </w:r>
      <w:r w:rsidR="001B04EC">
        <w:t xml:space="preserve">applies. As a result of the unity principle, </w:t>
      </w:r>
      <w:r w:rsidR="00520D04">
        <w:t xml:space="preserve">it is unlikely that Ace K will ever be incorporated in chewing gum at the proposed revised MPL of 5000 mg/kg. As shown in the example in </w:t>
      </w:r>
      <w:r w:rsidR="0013402E">
        <w:t>SD1</w:t>
      </w:r>
      <w:r w:rsidR="00520D04">
        <w:t xml:space="preserve">, the maximum level </w:t>
      </w:r>
      <w:r w:rsidR="00AD2061">
        <w:t xml:space="preserve">of </w:t>
      </w:r>
      <w:r w:rsidR="00520D04">
        <w:t xml:space="preserve">Ace K </w:t>
      </w:r>
      <w:r w:rsidR="00AD2061">
        <w:t xml:space="preserve">in chewing gum is more </w:t>
      </w:r>
      <w:r w:rsidR="001B04EC">
        <w:t xml:space="preserve">likely </w:t>
      </w:r>
      <w:r w:rsidR="00AD2061">
        <w:t xml:space="preserve">to be in </w:t>
      </w:r>
      <w:r w:rsidR="00520D04">
        <w:t xml:space="preserve">the region of 2000 mg/kg </w:t>
      </w:r>
      <w:r w:rsidR="00435AA9">
        <w:t>i.e.</w:t>
      </w:r>
      <w:r w:rsidR="00520D04">
        <w:t xml:space="preserve"> similar to that permitted currently in the Code. </w:t>
      </w:r>
      <w:r w:rsidR="00AD2061">
        <w:t>However</w:t>
      </w:r>
      <w:r w:rsidR="00F86F58">
        <w:t>,</w:t>
      </w:r>
      <w:r w:rsidR="00AD2061">
        <w:t xml:space="preserve"> increasing the MPL for Ace K in chewing gum to 5000 mg/kg allows for a greater proportion of Ace K than </w:t>
      </w:r>
      <w:r w:rsidR="00435AA9">
        <w:t xml:space="preserve">is </w:t>
      </w:r>
      <w:r w:rsidR="00AD2061">
        <w:t xml:space="preserve">currently permitted to be added to sweetener blends. </w:t>
      </w:r>
    </w:p>
    <w:p w14:paraId="639C71C8" w14:textId="77777777" w:rsidR="00AD2061" w:rsidRDefault="00AD2061" w:rsidP="00BF6EAE"/>
    <w:p w14:paraId="7DC1995D" w14:textId="0B2984DA" w:rsidR="00910A30" w:rsidRDefault="00AD2061" w:rsidP="00BF6EAE">
      <w:r>
        <w:t>Considering the actual level of Ace K in chewing gum is likely to be considerably lower than 5000 mg/kg, the risk and dietary exposure assessments undertaken in support of this Application</w:t>
      </w:r>
      <w:r w:rsidR="00F86F58">
        <w:t xml:space="preserve"> can be taken as “worse-case”. </w:t>
      </w:r>
      <w:r>
        <w:t>This in turn gives confidence that the</w:t>
      </w:r>
      <w:r w:rsidR="00A63760">
        <w:t xml:space="preserve"> risks to</w:t>
      </w:r>
      <w:r>
        <w:t xml:space="preserve"> public health and safety </w:t>
      </w:r>
      <w:r w:rsidR="00A63760">
        <w:t xml:space="preserve">from increasing the Ace K MPL in chewing gum are being </w:t>
      </w:r>
      <w:r>
        <w:t xml:space="preserve">adequately </w:t>
      </w:r>
      <w:r w:rsidR="00A63760">
        <w:t xml:space="preserve">managed by the outcomes of this </w:t>
      </w:r>
      <w:r>
        <w:t xml:space="preserve">Application.   </w:t>
      </w:r>
      <w:r w:rsidR="00910A30">
        <w:br w:type="page"/>
      </w:r>
    </w:p>
    <w:p w14:paraId="13E706E6" w14:textId="78FF59CE" w:rsidR="000445E5" w:rsidRDefault="000445E5" w:rsidP="000445E5">
      <w:pPr>
        <w:pStyle w:val="Heading3"/>
      </w:pPr>
      <w:bookmarkStart w:id="50" w:name="_Toc427676502"/>
      <w:r>
        <w:lastRenderedPageBreak/>
        <w:t>2.2.2</w:t>
      </w:r>
      <w:r>
        <w:tab/>
        <w:t>Revised MPL and bubble gum</w:t>
      </w:r>
      <w:bookmarkEnd w:id="50"/>
    </w:p>
    <w:p w14:paraId="53C99FAC" w14:textId="44B7E6A3" w:rsidR="000445E5" w:rsidRPr="000445E5" w:rsidRDefault="000445E5" w:rsidP="000445E5">
      <w:pPr>
        <w:rPr>
          <w:lang w:eastAsia="en-AU" w:bidi="ar-SA"/>
        </w:rPr>
      </w:pPr>
      <w:r>
        <w:rPr>
          <w:lang w:eastAsia="en-AU" w:bidi="ar-SA"/>
        </w:rPr>
        <w:t xml:space="preserve">As chewing gum and bubble gum are classified under the same </w:t>
      </w:r>
      <w:r w:rsidR="00E02006">
        <w:rPr>
          <w:lang w:eastAsia="en-AU" w:bidi="ar-SA"/>
        </w:rPr>
        <w:t>item</w:t>
      </w:r>
      <w:r>
        <w:rPr>
          <w:lang w:eastAsia="en-AU" w:bidi="ar-SA"/>
        </w:rPr>
        <w:t xml:space="preserve"> (a </w:t>
      </w:r>
      <w:r w:rsidR="00815005">
        <w:rPr>
          <w:lang w:eastAsia="en-AU" w:bidi="ar-SA"/>
        </w:rPr>
        <w:t>sub-item</w:t>
      </w:r>
      <w:r w:rsidR="00E02006">
        <w:rPr>
          <w:lang w:eastAsia="en-AU" w:bidi="ar-SA"/>
        </w:rPr>
        <w:t xml:space="preserve"> </w:t>
      </w:r>
      <w:r>
        <w:rPr>
          <w:lang w:eastAsia="en-AU" w:bidi="ar-SA"/>
        </w:rPr>
        <w:t>of confection</w:t>
      </w:r>
      <w:r w:rsidR="00E02006">
        <w:rPr>
          <w:lang w:eastAsia="en-AU" w:bidi="ar-SA"/>
        </w:rPr>
        <w:t>e</w:t>
      </w:r>
      <w:r>
        <w:rPr>
          <w:lang w:eastAsia="en-AU" w:bidi="ar-SA"/>
        </w:rPr>
        <w:t xml:space="preserve">ry) the proposed increase in the Ace K MPL in chewing gum will also apply to bubble gum. </w:t>
      </w:r>
      <w:r w:rsidR="00100D4A">
        <w:t xml:space="preserve">In the absence of any identified </w:t>
      </w:r>
      <w:r w:rsidR="00100D4A" w:rsidRPr="00276BB3">
        <w:t xml:space="preserve">public health or safety issues </w:t>
      </w:r>
      <w:r w:rsidR="00100D4A">
        <w:t>associated with the</w:t>
      </w:r>
      <w:r w:rsidR="00100D4A" w:rsidRPr="00276BB3">
        <w:t xml:space="preserve"> </w:t>
      </w:r>
      <w:r w:rsidR="00100D4A">
        <w:t xml:space="preserve">proposed </w:t>
      </w:r>
      <w:r w:rsidR="00100D4A" w:rsidRPr="00276BB3">
        <w:t>extended use</w:t>
      </w:r>
      <w:r w:rsidR="00100D4A">
        <w:t xml:space="preserve"> in chewing gum</w:t>
      </w:r>
      <w:r w:rsidR="004A3BF7">
        <w:t xml:space="preserve"> and noting that</w:t>
      </w:r>
      <w:r w:rsidR="004A3BF7" w:rsidRPr="004A3BF7">
        <w:t xml:space="preserve"> </w:t>
      </w:r>
      <w:r w:rsidR="004A3BF7">
        <w:t>dietary exposure assessments undertaken in support of this Application can be taken as “worse-case”</w:t>
      </w:r>
      <w:r w:rsidR="001818FB">
        <w:t>,</w:t>
      </w:r>
      <w:r w:rsidR="004A3BF7">
        <w:t xml:space="preserve"> </w:t>
      </w:r>
      <w:r w:rsidR="00100D4A" w:rsidRPr="00276BB3">
        <w:t xml:space="preserve">FSANZ </w:t>
      </w:r>
      <w:r w:rsidR="00100D4A">
        <w:t xml:space="preserve">considers the risks to public health and safety from increasing the MPL in bubble as well as chewing gum are adequately managed by the outcomes of this Application. </w:t>
      </w:r>
      <w:r>
        <w:rPr>
          <w:lang w:eastAsia="en-AU" w:bidi="ar-SA"/>
        </w:rPr>
        <w:t xml:space="preserve">  </w:t>
      </w:r>
    </w:p>
    <w:p w14:paraId="4C53B517" w14:textId="680975CF" w:rsidR="00C57EE5" w:rsidRPr="00350446" w:rsidRDefault="00AD2061" w:rsidP="00350446">
      <w:pPr>
        <w:pStyle w:val="Heading3"/>
      </w:pPr>
      <w:bookmarkStart w:id="51" w:name="_Toc427676503"/>
      <w:r w:rsidRPr="00350446">
        <w:t>2.</w:t>
      </w:r>
      <w:r w:rsidR="000445E5">
        <w:t>2.3</w:t>
      </w:r>
      <w:r w:rsidR="00C57EE5" w:rsidRPr="00350446">
        <w:tab/>
        <w:t>Specification</w:t>
      </w:r>
      <w:bookmarkEnd w:id="51"/>
      <w:r w:rsidR="00C57EE5" w:rsidRPr="00350446">
        <w:t xml:space="preserve"> </w:t>
      </w:r>
    </w:p>
    <w:p w14:paraId="13576A91" w14:textId="5A5BE79A" w:rsidR="00276BB3" w:rsidRDefault="00276BB3" w:rsidP="00276BB3">
      <w:pPr>
        <w:rPr>
          <w:rFonts w:cs="Arial"/>
          <w:szCs w:val="20"/>
          <w:lang w:bidi="ar-SA"/>
        </w:rPr>
      </w:pPr>
      <w:r w:rsidRPr="00276BB3">
        <w:rPr>
          <w:rFonts w:cs="Arial"/>
          <w:szCs w:val="20"/>
          <w:lang w:bidi="ar-SA"/>
        </w:rPr>
        <w:t xml:space="preserve">As </w:t>
      </w:r>
      <w:r w:rsidR="002344CA">
        <w:rPr>
          <w:rFonts w:cs="Arial"/>
          <w:szCs w:val="20"/>
          <w:lang w:bidi="ar-SA"/>
        </w:rPr>
        <w:t xml:space="preserve">this Application is an extension of use, </w:t>
      </w:r>
      <w:r w:rsidRPr="00276BB3">
        <w:rPr>
          <w:rFonts w:cs="Arial"/>
          <w:szCs w:val="20"/>
          <w:lang w:bidi="ar-SA"/>
        </w:rPr>
        <w:t xml:space="preserve">the additive is already permitted in </w:t>
      </w:r>
      <w:r w:rsidR="002344CA">
        <w:rPr>
          <w:rFonts w:cs="Arial"/>
          <w:szCs w:val="20"/>
          <w:lang w:bidi="ar-SA"/>
        </w:rPr>
        <w:t xml:space="preserve">chewing gum and </w:t>
      </w:r>
      <w:r w:rsidRPr="00276BB3">
        <w:rPr>
          <w:rFonts w:cs="Arial"/>
          <w:szCs w:val="20"/>
          <w:lang w:bidi="ar-SA"/>
        </w:rPr>
        <w:t>other foods and a specification already exists</w:t>
      </w:r>
      <w:r w:rsidR="002344CA">
        <w:rPr>
          <w:rFonts w:cs="Arial"/>
          <w:szCs w:val="20"/>
          <w:lang w:bidi="ar-SA"/>
        </w:rPr>
        <w:t>,</w:t>
      </w:r>
      <w:r w:rsidRPr="00276BB3">
        <w:rPr>
          <w:rFonts w:cs="Arial"/>
          <w:szCs w:val="20"/>
          <w:lang w:bidi="ar-SA"/>
        </w:rPr>
        <w:t xml:space="preserve"> no amendments to the specification is necessary. </w:t>
      </w:r>
    </w:p>
    <w:p w14:paraId="24656B00" w14:textId="655F611C" w:rsidR="00DF5106" w:rsidRDefault="000445E5" w:rsidP="00DF5106">
      <w:pPr>
        <w:pStyle w:val="Heading3"/>
      </w:pPr>
      <w:bookmarkStart w:id="52" w:name="_Toc427676504"/>
      <w:r>
        <w:t>2.2.4</w:t>
      </w:r>
      <w:r w:rsidR="00A63760">
        <w:tab/>
        <w:t>Analytical methods</w:t>
      </w:r>
      <w:bookmarkEnd w:id="52"/>
      <w:r w:rsidR="00A63760">
        <w:t xml:space="preserve"> </w:t>
      </w:r>
    </w:p>
    <w:p w14:paraId="50C419B8" w14:textId="3AC43CB5" w:rsidR="00A63760" w:rsidRPr="00802FC0" w:rsidRDefault="00A63760" w:rsidP="00A63760">
      <w:r>
        <w:t xml:space="preserve">Analytical methods for identifying and quantifying </w:t>
      </w:r>
      <w:r w:rsidRPr="00802FC0">
        <w:t>Ace K i</w:t>
      </w:r>
      <w:r>
        <w:t xml:space="preserve">n </w:t>
      </w:r>
      <w:r w:rsidRPr="00802FC0">
        <w:t>foods and beverages</w:t>
      </w:r>
      <w:r>
        <w:t xml:space="preserve">, as well methods that can </w:t>
      </w:r>
      <w:r w:rsidRPr="00802FC0">
        <w:t>separate and quantify other intense sweeteners</w:t>
      </w:r>
      <w:r>
        <w:t xml:space="preserve"> used in combination with Ace K, already exist. Therefore no changes are necessary as part of this Application. </w:t>
      </w:r>
    </w:p>
    <w:p w14:paraId="17D5EB81" w14:textId="3C2EB867" w:rsidR="00276BB3" w:rsidRPr="00276BB3" w:rsidRDefault="000445E5" w:rsidP="00DF5106">
      <w:pPr>
        <w:pStyle w:val="Heading3"/>
      </w:pPr>
      <w:bookmarkStart w:id="53" w:name="_Toc426969207"/>
      <w:bookmarkStart w:id="54" w:name="_Toc427676505"/>
      <w:r>
        <w:t>2.2.5</w:t>
      </w:r>
      <w:r w:rsidR="00276BB3" w:rsidRPr="00276BB3">
        <w:tab/>
        <w:t>Labelling</w:t>
      </w:r>
      <w:bookmarkEnd w:id="49"/>
      <w:bookmarkEnd w:id="53"/>
      <w:bookmarkEnd w:id="54"/>
    </w:p>
    <w:p w14:paraId="360412D3" w14:textId="5B53C449" w:rsidR="00433B39" w:rsidRDefault="00433B39" w:rsidP="00433B39">
      <w:r>
        <w:t>Ace K when used as a food additive</w:t>
      </w:r>
      <w:r w:rsidR="004E791C">
        <w:t>,</w:t>
      </w:r>
      <w:r>
        <w:t xml:space="preserve"> is </w:t>
      </w:r>
      <w:r w:rsidRPr="00433B39">
        <w:t>currently required to be declared in the list of ingredients on the label of most packaged foods in accordance with section 1.2.4––7</w:t>
      </w:r>
      <w:r w:rsidR="00F95F4A">
        <w:t xml:space="preserve">. </w:t>
      </w:r>
      <w:r w:rsidRPr="00433B39">
        <w:t xml:space="preserve">This requires the class name </w:t>
      </w:r>
      <w:r w:rsidRPr="00433B39">
        <w:rPr>
          <w:i/>
        </w:rPr>
        <w:t>sweetener</w:t>
      </w:r>
      <w:r w:rsidRPr="00433B39">
        <w:t xml:space="preserve"> to be declared</w:t>
      </w:r>
      <w:r w:rsidR="004E791C">
        <w:t>,</w:t>
      </w:r>
      <w:r w:rsidRPr="00433B39">
        <w:t xml:space="preserve"> followed by the prescribed name </w:t>
      </w:r>
      <w:r w:rsidR="004E791C">
        <w:t>a</w:t>
      </w:r>
      <w:r w:rsidR="000F00BF">
        <w:t>cesulphame potassium</w:t>
      </w:r>
      <w:r w:rsidRPr="00433B39">
        <w:t xml:space="preserve">, or code number </w:t>
      </w:r>
      <w:r>
        <w:rPr>
          <w:i/>
        </w:rPr>
        <w:t>95</w:t>
      </w:r>
      <w:r w:rsidRPr="00433B39">
        <w:rPr>
          <w:i/>
        </w:rPr>
        <w:t>0</w:t>
      </w:r>
      <w:r w:rsidRPr="00433B39">
        <w:t xml:space="preserve"> in brackets. These existing labelling provisions will continue to allow consumers to identify whether </w:t>
      </w:r>
      <w:r>
        <w:t>Ace K has</w:t>
      </w:r>
      <w:r w:rsidRPr="00433B39">
        <w:t xml:space="preserve"> been added to a packaged food. </w:t>
      </w:r>
    </w:p>
    <w:p w14:paraId="10AC8DE1" w14:textId="16086D95" w:rsidR="00815005" w:rsidRDefault="00815005" w:rsidP="00433B39"/>
    <w:p w14:paraId="47F68EEC" w14:textId="1FA7C63F" w:rsidR="00815005" w:rsidRPr="00194425" w:rsidRDefault="00815005" w:rsidP="00815005">
      <w:pPr>
        <w:rPr>
          <w:rFonts w:eastAsia="Calibri"/>
        </w:rPr>
      </w:pPr>
      <w:r>
        <w:rPr>
          <w:rFonts w:eastAsia="Calibri"/>
        </w:rPr>
        <w:t xml:space="preserve">Based on the risk assessment conclusions, there are no specific risk management measures needed for the increase to the MPL and consumers will be informed of Ace K presence in food via mandatory labelling (see 2.2.5 above). </w:t>
      </w:r>
    </w:p>
    <w:p w14:paraId="420D5F29" w14:textId="77777777" w:rsidR="00815005" w:rsidRDefault="00815005" w:rsidP="00433B39"/>
    <w:p w14:paraId="12D9AE9D" w14:textId="46A47110" w:rsidR="001F30F0" w:rsidRDefault="001F30F0" w:rsidP="001F30F0">
      <w:pPr>
        <w:pStyle w:val="Heading2"/>
      </w:pPr>
      <w:bookmarkStart w:id="55" w:name="_Toc427676506"/>
      <w:r>
        <w:t>2.</w:t>
      </w:r>
      <w:r w:rsidR="0011725B">
        <w:t>3</w:t>
      </w:r>
      <w:r>
        <w:tab/>
        <w:t>FSANZ Act assessment requirements</w:t>
      </w:r>
      <w:bookmarkEnd w:id="55"/>
    </w:p>
    <w:p w14:paraId="440C81AB" w14:textId="77777777" w:rsidR="001F30F0" w:rsidRPr="00914030" w:rsidRDefault="001F30F0" w:rsidP="001F30F0">
      <w:r w:rsidRPr="00914030">
        <w:t xml:space="preserve">When assessing </w:t>
      </w:r>
      <w:r>
        <w:t>this A</w:t>
      </w:r>
      <w:r w:rsidRPr="00F8589E">
        <w:t xml:space="preserve">pplication and the subsequent development of a food regulatory measure, </w:t>
      </w:r>
      <w:r w:rsidRPr="00914030">
        <w:t xml:space="preserve">FSANZ has had regard to the </w:t>
      </w:r>
      <w:r w:rsidRPr="00914030" w:rsidDel="00932F14">
        <w:t xml:space="preserve">following </w:t>
      </w:r>
      <w:r w:rsidRPr="00914030">
        <w:t xml:space="preserve">matters in section </w:t>
      </w:r>
      <w:r w:rsidRPr="00F8589E">
        <w:t xml:space="preserve">29 </w:t>
      </w:r>
      <w:r w:rsidRPr="00914030">
        <w:t>of the FSANZ Act:</w:t>
      </w:r>
    </w:p>
    <w:p w14:paraId="2ED765A6" w14:textId="36603C1A" w:rsidR="001F30F0" w:rsidRPr="00914030" w:rsidRDefault="001F30F0" w:rsidP="001F30F0">
      <w:pPr>
        <w:pStyle w:val="Heading3"/>
      </w:pPr>
      <w:bookmarkStart w:id="56" w:name="_Toc427676507"/>
      <w:r>
        <w:t>2.</w:t>
      </w:r>
      <w:r w:rsidR="0011725B">
        <w:t>3</w:t>
      </w:r>
      <w:r>
        <w:t>.1</w:t>
      </w:r>
      <w:r>
        <w:tab/>
        <w:t xml:space="preserve">Section </w:t>
      </w:r>
      <w:r w:rsidRPr="00A63760">
        <w:rPr>
          <w:rFonts w:ascii="Arial Bold" w:hAnsi="Arial Bold"/>
          <w:b w:val="0"/>
          <w:color w:val="auto"/>
        </w:rPr>
        <w:t>29</w:t>
      </w:r>
      <w:bookmarkEnd w:id="56"/>
    </w:p>
    <w:p w14:paraId="186353B2" w14:textId="6C556DAA" w:rsidR="001F30F0" w:rsidRDefault="001F30F0" w:rsidP="001F30F0">
      <w:pPr>
        <w:pStyle w:val="Heading4"/>
      </w:pPr>
      <w:r>
        <w:t>2.</w:t>
      </w:r>
      <w:r w:rsidR="0011725B">
        <w:t>3</w:t>
      </w:r>
      <w:r>
        <w:t>.1.1</w:t>
      </w:r>
      <w:r>
        <w:tab/>
        <w:t>Cost benefit analysis</w:t>
      </w:r>
    </w:p>
    <w:p w14:paraId="358E8498" w14:textId="77777777" w:rsidR="001F30F0" w:rsidRDefault="001F30F0" w:rsidP="001F30F0">
      <w:r w:rsidRPr="000B4545">
        <w:t xml:space="preserve">FSANZ is required to consider the impact of various regulatory and non-regulatory options on all sectors of the community, especially relevant stakeholders. </w:t>
      </w:r>
    </w:p>
    <w:p w14:paraId="37818626" w14:textId="77777777" w:rsidR="001F30F0" w:rsidRPr="000B4545" w:rsidRDefault="001F30F0" w:rsidP="001F30F0"/>
    <w:p w14:paraId="7F042BDA" w14:textId="77777777" w:rsidR="001F30F0" w:rsidRPr="000B4545" w:rsidRDefault="001F30F0" w:rsidP="001F30F0">
      <w:r w:rsidRPr="000B4545">
        <w:t>The benefits and costs associated with the proposed amendments to the Code have been considered based on regulatory impact principles. The level of analysis is commensurate to the nature of the Application and significance of the impacts.</w:t>
      </w:r>
    </w:p>
    <w:p w14:paraId="5E135868" w14:textId="77777777" w:rsidR="001F30F0" w:rsidRPr="000B4545" w:rsidRDefault="001F30F0" w:rsidP="001F30F0"/>
    <w:p w14:paraId="5837DB42" w14:textId="77777777" w:rsidR="00910A30" w:rsidRDefault="001F30F0" w:rsidP="001F30F0">
      <w:pPr>
        <w:rPr>
          <w:rFonts w:cs="Arial"/>
          <w:szCs w:val="22"/>
          <w:lang w:val="en-AU"/>
        </w:rPr>
      </w:pPr>
      <w:r w:rsidRPr="000B4545">
        <w:t>The Office of Best Practice Regulation</w:t>
      </w:r>
      <w:r>
        <w:t xml:space="preserve"> (OBPR)</w:t>
      </w:r>
      <w:r w:rsidRPr="000B4545">
        <w:t xml:space="preserve">, in a letter dated </w:t>
      </w:r>
      <w:r>
        <w:t>31 March 2015 (reference 18791</w:t>
      </w:r>
      <w:r w:rsidRPr="000B4545">
        <w:t xml:space="preserve">), </w:t>
      </w:r>
      <w:r>
        <w:rPr>
          <w:rFonts w:cs="Arial"/>
          <w:szCs w:val="22"/>
          <w:lang w:val="en-AU"/>
        </w:rPr>
        <w:t xml:space="preserve">advised </w:t>
      </w:r>
      <w:r w:rsidRPr="00E7391C">
        <w:rPr>
          <w:rFonts w:cs="Arial"/>
          <w:szCs w:val="22"/>
          <w:lang w:val="en-AU"/>
        </w:rPr>
        <w:t>that a C</w:t>
      </w:r>
      <w:r>
        <w:rPr>
          <w:rFonts w:cs="Arial"/>
          <w:szCs w:val="22"/>
          <w:lang w:val="en-AU"/>
        </w:rPr>
        <w:t xml:space="preserve">ouncil of Australian Government Regulatory </w:t>
      </w:r>
      <w:r w:rsidRPr="00E7391C">
        <w:rPr>
          <w:rFonts w:cs="Arial"/>
          <w:szCs w:val="22"/>
          <w:lang w:val="en-AU"/>
        </w:rPr>
        <w:t>I</w:t>
      </w:r>
      <w:r>
        <w:rPr>
          <w:rFonts w:cs="Arial"/>
          <w:szCs w:val="22"/>
          <w:lang w:val="en-AU"/>
        </w:rPr>
        <w:t xml:space="preserve">mpact </w:t>
      </w:r>
      <w:r w:rsidRPr="00E7391C">
        <w:rPr>
          <w:rFonts w:cs="Arial"/>
          <w:szCs w:val="22"/>
          <w:lang w:val="en-AU"/>
        </w:rPr>
        <w:t>S</w:t>
      </w:r>
      <w:r>
        <w:rPr>
          <w:rFonts w:cs="Arial"/>
          <w:szCs w:val="22"/>
          <w:lang w:val="en-AU"/>
        </w:rPr>
        <w:t>tatement</w:t>
      </w:r>
      <w:r w:rsidRPr="00E7391C">
        <w:rPr>
          <w:rFonts w:cs="Arial"/>
          <w:szCs w:val="22"/>
          <w:lang w:val="en-AU"/>
        </w:rPr>
        <w:t xml:space="preserve"> </w:t>
      </w:r>
      <w:r>
        <w:rPr>
          <w:rFonts w:cs="Arial"/>
          <w:szCs w:val="22"/>
          <w:lang w:val="en-AU"/>
        </w:rPr>
        <w:t xml:space="preserve">is not required </w:t>
      </w:r>
      <w:r w:rsidRPr="00E7391C">
        <w:rPr>
          <w:rFonts w:cs="Arial"/>
          <w:szCs w:val="22"/>
          <w:lang w:val="en-AU"/>
        </w:rPr>
        <w:t>for this matter.</w:t>
      </w:r>
      <w:r>
        <w:rPr>
          <w:rFonts w:cs="Arial"/>
          <w:szCs w:val="22"/>
          <w:lang w:val="en-AU"/>
        </w:rPr>
        <w:t xml:space="preserve"> </w:t>
      </w:r>
      <w:r w:rsidR="00910A30">
        <w:rPr>
          <w:rFonts w:cs="Arial"/>
          <w:szCs w:val="22"/>
          <w:lang w:val="en-AU"/>
        </w:rPr>
        <w:br w:type="page"/>
      </w:r>
    </w:p>
    <w:p w14:paraId="2733848B" w14:textId="4E20B7CC" w:rsidR="001F30F0" w:rsidRDefault="001F30F0" w:rsidP="001F30F0">
      <w:r w:rsidRPr="00E7391C">
        <w:rPr>
          <w:rFonts w:cs="Arial"/>
          <w:szCs w:val="22"/>
          <w:lang w:val="en-AU"/>
        </w:rPr>
        <w:lastRenderedPageBreak/>
        <w:t>Based on the information provi</w:t>
      </w:r>
      <w:r>
        <w:rPr>
          <w:rFonts w:cs="Arial"/>
          <w:szCs w:val="22"/>
          <w:lang w:val="en-AU"/>
        </w:rPr>
        <w:t>ded, the OBPR advised that the proposal is</w:t>
      </w:r>
      <w:r w:rsidRPr="00E7391C">
        <w:rPr>
          <w:rFonts w:cs="Arial"/>
          <w:szCs w:val="22"/>
          <w:lang w:val="en-AU"/>
        </w:rPr>
        <w:t xml:space="preserve"> likely to have a minor regulatory impact on business, community organisations or individuals. Give</w:t>
      </w:r>
      <w:r>
        <w:rPr>
          <w:rFonts w:cs="Arial"/>
          <w:szCs w:val="22"/>
          <w:lang w:val="en-AU"/>
        </w:rPr>
        <w:t xml:space="preserve">n the market characteristics, the proposed change is </w:t>
      </w:r>
      <w:r w:rsidRPr="00E7391C">
        <w:rPr>
          <w:rFonts w:cs="Arial"/>
          <w:szCs w:val="22"/>
          <w:lang w:val="en-AU"/>
        </w:rPr>
        <w:t xml:space="preserve">not likely to have significant competition impacts and any change by businesses in response to </w:t>
      </w:r>
      <w:r>
        <w:rPr>
          <w:rFonts w:cs="Arial"/>
          <w:szCs w:val="22"/>
          <w:lang w:val="en-AU"/>
        </w:rPr>
        <w:t xml:space="preserve"> changes to the Code, if the Application be approved, will be voluntary.</w:t>
      </w:r>
    </w:p>
    <w:p w14:paraId="7E709E83" w14:textId="77777777" w:rsidR="001F30F0" w:rsidRDefault="001F30F0" w:rsidP="001F30F0"/>
    <w:p w14:paraId="417DF583" w14:textId="77777777" w:rsidR="001F30F0" w:rsidRPr="000B4545" w:rsidRDefault="001F30F0" w:rsidP="001F30F0">
      <w:r w:rsidRPr="000B4545">
        <w:t>However, FSANZ has undertaken a limited qualitative impact analysis.</w:t>
      </w:r>
    </w:p>
    <w:p w14:paraId="1840680D" w14:textId="77777777" w:rsidR="001F30F0" w:rsidRPr="000B4545" w:rsidRDefault="001F30F0" w:rsidP="001F30F0"/>
    <w:p w14:paraId="663A62AB" w14:textId="2AA6A643" w:rsidR="001F30F0" w:rsidRDefault="001F30F0" w:rsidP="001F30F0">
      <w:pPr>
        <w:ind w:left="567" w:hanging="567"/>
      </w:pPr>
      <w:r w:rsidRPr="000B4545">
        <w:t xml:space="preserve">Two regulatory options </w:t>
      </w:r>
      <w:r>
        <w:t>were</w:t>
      </w:r>
      <w:r w:rsidRPr="000B4545">
        <w:t xml:space="preserve"> considered: </w:t>
      </w:r>
    </w:p>
    <w:p w14:paraId="564512A2" w14:textId="77777777" w:rsidR="001F30F0" w:rsidRDefault="001F30F0" w:rsidP="001F30F0">
      <w:pPr>
        <w:ind w:left="567" w:hanging="567"/>
      </w:pPr>
    </w:p>
    <w:p w14:paraId="68E83201" w14:textId="77777777" w:rsidR="001F30F0" w:rsidRPr="000B4545" w:rsidRDefault="001F30F0" w:rsidP="001F30F0">
      <w:pPr>
        <w:ind w:left="567" w:hanging="567"/>
      </w:pPr>
      <w:r w:rsidRPr="000B4545">
        <w:t xml:space="preserve">(1) </w:t>
      </w:r>
      <w:r w:rsidRPr="000B4545">
        <w:tab/>
        <w:t xml:space="preserve">prepare a draft variation to the revised Code to permit </w:t>
      </w:r>
      <w:r>
        <w:t>the requested increase of the MPL for Ace K in chewing gum</w:t>
      </w:r>
    </w:p>
    <w:p w14:paraId="2ED3422E" w14:textId="77777777" w:rsidR="001F30F0" w:rsidRPr="000B4545" w:rsidRDefault="001F30F0" w:rsidP="001F30F0">
      <w:r w:rsidRPr="000B4545">
        <w:t xml:space="preserve">(2) </w:t>
      </w:r>
      <w:r w:rsidRPr="000B4545">
        <w:tab/>
        <w:t>reject the Application.</w:t>
      </w:r>
    </w:p>
    <w:p w14:paraId="799EB52D" w14:textId="77777777" w:rsidR="001F30F0" w:rsidRPr="000B4545" w:rsidRDefault="001F30F0" w:rsidP="001F30F0"/>
    <w:p w14:paraId="589970B7" w14:textId="77777777" w:rsidR="001F30F0" w:rsidRPr="000B4545" w:rsidRDefault="001F30F0" w:rsidP="001F30F0">
      <w:r w:rsidRPr="000B4545">
        <w:t xml:space="preserve">The likely impacts of these options were considered but this is not intended to be an exhaustive, quantitative economic analysis. Rather, the qualitative effects of each option are described below, and are deliberately limited to broad areas such as trade and consumer choice. </w:t>
      </w:r>
    </w:p>
    <w:p w14:paraId="1185EF94" w14:textId="77777777" w:rsidR="001F30F0" w:rsidRPr="000B4545" w:rsidRDefault="001F30F0" w:rsidP="001F30F0">
      <w:pPr>
        <w:keepNext/>
        <w:keepLines/>
        <w:widowControl/>
        <w:spacing w:before="240" w:after="240"/>
        <w:outlineLvl w:val="3"/>
        <w:rPr>
          <w:b/>
          <w:bCs/>
          <w:iCs/>
          <w:strike/>
          <w:szCs w:val="22"/>
          <w:lang w:bidi="ar-SA"/>
        </w:rPr>
      </w:pPr>
      <w:r w:rsidRPr="000B4545">
        <w:rPr>
          <w:b/>
          <w:bCs/>
          <w:iCs/>
          <w:szCs w:val="22"/>
          <w:lang w:bidi="ar-SA"/>
        </w:rPr>
        <w:t xml:space="preserve">Option 1 – prepare a draft variation to the revised Code </w:t>
      </w:r>
    </w:p>
    <w:tbl>
      <w:tblPr>
        <w:tblStyle w:val="TableGrid3"/>
        <w:tblW w:w="9322" w:type="dxa"/>
        <w:tblLook w:val="04A0" w:firstRow="1" w:lastRow="0" w:firstColumn="1" w:lastColumn="0" w:noHBand="0" w:noVBand="1"/>
      </w:tblPr>
      <w:tblGrid>
        <w:gridCol w:w="1417"/>
        <w:gridCol w:w="7905"/>
      </w:tblGrid>
      <w:tr w:rsidR="001F30F0" w:rsidRPr="000B4545" w14:paraId="0AFCE8F5" w14:textId="77777777" w:rsidTr="00D0160A">
        <w:tc>
          <w:tcPr>
            <w:tcW w:w="0" w:type="auto"/>
            <w:shd w:val="clear" w:color="auto" w:fill="C2D69B" w:themeFill="accent3" w:themeFillTint="99"/>
          </w:tcPr>
          <w:p w14:paraId="5A44C519" w14:textId="77777777" w:rsidR="001F30F0" w:rsidRPr="000B4545" w:rsidRDefault="001F30F0" w:rsidP="00D0160A">
            <w:pPr>
              <w:keepNext/>
              <w:keepLines/>
              <w:widowControl/>
              <w:rPr>
                <w:b/>
                <w:sz w:val="20"/>
                <w:szCs w:val="20"/>
              </w:rPr>
            </w:pPr>
            <w:r w:rsidRPr="000B4545">
              <w:rPr>
                <w:b/>
                <w:sz w:val="20"/>
                <w:szCs w:val="20"/>
              </w:rPr>
              <w:t>Sector</w:t>
            </w:r>
          </w:p>
        </w:tc>
        <w:tc>
          <w:tcPr>
            <w:tcW w:w="7905" w:type="dxa"/>
            <w:shd w:val="clear" w:color="auto" w:fill="C2D69B" w:themeFill="accent3" w:themeFillTint="99"/>
          </w:tcPr>
          <w:p w14:paraId="1B4A4319" w14:textId="77777777" w:rsidR="001F30F0" w:rsidRPr="000B4545" w:rsidRDefault="001F30F0" w:rsidP="00D0160A">
            <w:pPr>
              <w:keepNext/>
              <w:keepLines/>
              <w:widowControl/>
              <w:rPr>
                <w:b/>
                <w:sz w:val="20"/>
                <w:szCs w:val="20"/>
              </w:rPr>
            </w:pPr>
            <w:r w:rsidRPr="000B4545">
              <w:rPr>
                <w:b/>
                <w:sz w:val="20"/>
                <w:szCs w:val="20"/>
              </w:rPr>
              <w:t xml:space="preserve">Costs or benefits </w:t>
            </w:r>
          </w:p>
        </w:tc>
      </w:tr>
      <w:tr w:rsidR="001F30F0" w:rsidRPr="000B4545" w14:paraId="4559285A" w14:textId="77777777" w:rsidTr="00D0160A">
        <w:trPr>
          <w:trHeight w:val="283"/>
        </w:trPr>
        <w:tc>
          <w:tcPr>
            <w:tcW w:w="0" w:type="auto"/>
          </w:tcPr>
          <w:p w14:paraId="2381AE70" w14:textId="77777777" w:rsidR="001F30F0" w:rsidRPr="000B4545" w:rsidRDefault="001F30F0" w:rsidP="00D0160A">
            <w:pPr>
              <w:rPr>
                <w:sz w:val="20"/>
                <w:szCs w:val="20"/>
              </w:rPr>
            </w:pPr>
            <w:r w:rsidRPr="000B4545">
              <w:rPr>
                <w:sz w:val="20"/>
                <w:szCs w:val="20"/>
              </w:rPr>
              <w:t>Consumers</w:t>
            </w:r>
          </w:p>
        </w:tc>
        <w:tc>
          <w:tcPr>
            <w:tcW w:w="7905" w:type="dxa"/>
          </w:tcPr>
          <w:p w14:paraId="410DB157" w14:textId="73092ED5" w:rsidR="001F30F0" w:rsidRPr="000B4545" w:rsidRDefault="008065BE" w:rsidP="00D0160A">
            <w:pPr>
              <w:keepNext/>
              <w:keepLines/>
              <w:widowControl/>
              <w:rPr>
                <w:sz w:val="20"/>
                <w:szCs w:val="20"/>
              </w:rPr>
            </w:pPr>
            <w:r>
              <w:rPr>
                <w:sz w:val="20"/>
                <w:szCs w:val="20"/>
              </w:rPr>
              <w:t>C</w:t>
            </w:r>
            <w:r w:rsidR="001F30F0" w:rsidRPr="000B4545">
              <w:rPr>
                <w:sz w:val="20"/>
                <w:szCs w:val="20"/>
              </w:rPr>
              <w:t xml:space="preserve">onsumers </w:t>
            </w:r>
            <w:r w:rsidR="001F30F0">
              <w:rPr>
                <w:sz w:val="20"/>
                <w:szCs w:val="20"/>
              </w:rPr>
              <w:t xml:space="preserve">are likely to </w:t>
            </w:r>
            <w:r w:rsidR="001F30F0" w:rsidRPr="000B4545">
              <w:rPr>
                <w:sz w:val="20"/>
                <w:szCs w:val="20"/>
              </w:rPr>
              <w:t xml:space="preserve">benefit </w:t>
            </w:r>
            <w:r w:rsidR="001F30F0">
              <w:rPr>
                <w:sz w:val="20"/>
                <w:szCs w:val="20"/>
              </w:rPr>
              <w:t xml:space="preserve">from an increase in the MPL for Ace K in chewing gum as it would allow the sale of gums with flavour profiles which are similar to those available in overseas markets. The </w:t>
            </w:r>
            <w:r w:rsidR="001F30F0" w:rsidRPr="000B4545">
              <w:rPr>
                <w:sz w:val="20"/>
                <w:szCs w:val="20"/>
              </w:rPr>
              <w:t xml:space="preserve">Applicant claims that </w:t>
            </w:r>
            <w:r w:rsidR="001F30F0">
              <w:rPr>
                <w:sz w:val="20"/>
                <w:szCs w:val="20"/>
              </w:rPr>
              <w:t xml:space="preserve">chewing gums with a higher level of Ace K have enhanced flavour and longevity compared with chewing gums currently sold in Australia and New Zealand. </w:t>
            </w:r>
            <w:r w:rsidR="001F30F0" w:rsidRPr="000B4545">
              <w:rPr>
                <w:sz w:val="20"/>
                <w:szCs w:val="20"/>
              </w:rPr>
              <w:t xml:space="preserve"> </w:t>
            </w:r>
          </w:p>
        </w:tc>
      </w:tr>
      <w:tr w:rsidR="001F30F0" w:rsidRPr="000B4545" w14:paraId="408867EE" w14:textId="77777777" w:rsidTr="00D0160A">
        <w:trPr>
          <w:trHeight w:val="283"/>
        </w:trPr>
        <w:tc>
          <w:tcPr>
            <w:tcW w:w="0" w:type="auto"/>
          </w:tcPr>
          <w:p w14:paraId="086DE50F" w14:textId="77777777" w:rsidR="001F30F0" w:rsidRPr="000B4545" w:rsidRDefault="001F30F0" w:rsidP="00D0160A">
            <w:pPr>
              <w:rPr>
                <w:sz w:val="20"/>
                <w:szCs w:val="20"/>
              </w:rPr>
            </w:pPr>
            <w:r w:rsidRPr="000B4545">
              <w:rPr>
                <w:sz w:val="20"/>
                <w:szCs w:val="20"/>
              </w:rPr>
              <w:t>Industry</w:t>
            </w:r>
          </w:p>
        </w:tc>
        <w:tc>
          <w:tcPr>
            <w:tcW w:w="7905" w:type="dxa"/>
          </w:tcPr>
          <w:p w14:paraId="7AF91430" w14:textId="77777777" w:rsidR="001F30F0" w:rsidRPr="000B4545" w:rsidRDefault="001F30F0" w:rsidP="00D0160A">
            <w:pPr>
              <w:keepNext/>
              <w:keepLines/>
              <w:widowControl/>
              <w:rPr>
                <w:sz w:val="20"/>
                <w:szCs w:val="20"/>
              </w:rPr>
            </w:pPr>
            <w:r>
              <w:rPr>
                <w:sz w:val="20"/>
                <w:szCs w:val="20"/>
              </w:rPr>
              <w:t xml:space="preserve">If this Application is approved it could benefit all chewing gum manufacturers and importers in Australia and New Zealand. They could manufacturer for sale in Australia and New Zealand, or import chewing gum with flavour profiles similar/the same as those available overseas, which may be more desirable by the consumer due to </w:t>
            </w:r>
            <w:r w:rsidRPr="000B4545">
              <w:rPr>
                <w:sz w:val="20"/>
                <w:szCs w:val="20"/>
              </w:rPr>
              <w:t xml:space="preserve">the </w:t>
            </w:r>
            <w:r>
              <w:rPr>
                <w:sz w:val="20"/>
                <w:szCs w:val="20"/>
              </w:rPr>
              <w:t xml:space="preserve">claimed </w:t>
            </w:r>
            <w:r w:rsidRPr="000B4545">
              <w:rPr>
                <w:sz w:val="20"/>
                <w:szCs w:val="20"/>
              </w:rPr>
              <w:t>superior flavour profile.</w:t>
            </w:r>
          </w:p>
        </w:tc>
      </w:tr>
      <w:tr w:rsidR="001F30F0" w:rsidRPr="000B4545" w14:paraId="7F5E52B2" w14:textId="77777777" w:rsidTr="00D0160A">
        <w:trPr>
          <w:trHeight w:val="283"/>
        </w:trPr>
        <w:tc>
          <w:tcPr>
            <w:tcW w:w="0" w:type="auto"/>
          </w:tcPr>
          <w:p w14:paraId="4C07DDEB" w14:textId="77777777" w:rsidR="001F30F0" w:rsidRPr="000B4545" w:rsidRDefault="001F30F0" w:rsidP="00D0160A">
            <w:pPr>
              <w:rPr>
                <w:sz w:val="20"/>
                <w:szCs w:val="20"/>
              </w:rPr>
            </w:pPr>
            <w:r w:rsidRPr="000B4545">
              <w:rPr>
                <w:sz w:val="20"/>
                <w:szCs w:val="20"/>
              </w:rPr>
              <w:t>Governments</w:t>
            </w:r>
          </w:p>
        </w:tc>
        <w:tc>
          <w:tcPr>
            <w:tcW w:w="7905" w:type="dxa"/>
          </w:tcPr>
          <w:p w14:paraId="64D94CA5" w14:textId="77777777" w:rsidR="001F30F0" w:rsidRPr="000B4545" w:rsidRDefault="001F30F0" w:rsidP="00D0160A">
            <w:pPr>
              <w:keepNext/>
              <w:keepLines/>
              <w:widowControl/>
              <w:rPr>
                <w:sz w:val="20"/>
                <w:szCs w:val="20"/>
              </w:rPr>
            </w:pPr>
            <w:r w:rsidRPr="000B4545">
              <w:rPr>
                <w:sz w:val="20"/>
                <w:szCs w:val="20"/>
              </w:rPr>
              <w:t>T</w:t>
            </w:r>
            <w:r>
              <w:rPr>
                <w:sz w:val="20"/>
                <w:szCs w:val="20"/>
              </w:rPr>
              <w:t>here s</w:t>
            </w:r>
            <w:r w:rsidRPr="000B4545">
              <w:rPr>
                <w:sz w:val="20"/>
                <w:szCs w:val="20"/>
              </w:rPr>
              <w:t>hould be</w:t>
            </w:r>
            <w:r>
              <w:rPr>
                <w:sz w:val="20"/>
                <w:szCs w:val="20"/>
              </w:rPr>
              <w:t xml:space="preserve"> no </w:t>
            </w:r>
            <w:r w:rsidRPr="000B4545">
              <w:rPr>
                <w:sz w:val="20"/>
                <w:szCs w:val="20"/>
              </w:rPr>
              <w:t>impact on government e</w:t>
            </w:r>
            <w:r>
              <w:rPr>
                <w:sz w:val="20"/>
                <w:szCs w:val="20"/>
              </w:rPr>
              <w:t xml:space="preserve">nforcement agencies since Ace K is already permitted </w:t>
            </w:r>
            <w:r w:rsidRPr="000B4545">
              <w:rPr>
                <w:sz w:val="20"/>
                <w:szCs w:val="20"/>
              </w:rPr>
              <w:t>to be added to various food categories</w:t>
            </w:r>
            <w:r>
              <w:rPr>
                <w:sz w:val="20"/>
                <w:szCs w:val="20"/>
              </w:rPr>
              <w:t>, including chewing gum</w:t>
            </w:r>
            <w:r w:rsidRPr="000B4545">
              <w:rPr>
                <w:sz w:val="20"/>
                <w:szCs w:val="20"/>
              </w:rPr>
              <w:t xml:space="preserve">. </w:t>
            </w:r>
            <w:r>
              <w:rPr>
                <w:sz w:val="20"/>
                <w:szCs w:val="20"/>
              </w:rPr>
              <w:t>The method of analysis of its</w:t>
            </w:r>
            <w:r w:rsidRPr="000B4545">
              <w:rPr>
                <w:sz w:val="20"/>
                <w:szCs w:val="20"/>
              </w:rPr>
              <w:t xml:space="preserve"> presence in food </w:t>
            </w:r>
            <w:r>
              <w:rPr>
                <w:sz w:val="20"/>
                <w:szCs w:val="20"/>
              </w:rPr>
              <w:t xml:space="preserve">is unchanged. </w:t>
            </w:r>
          </w:p>
        </w:tc>
      </w:tr>
    </w:tbl>
    <w:p w14:paraId="60976110" w14:textId="77777777" w:rsidR="001F30F0" w:rsidRPr="000B4545" w:rsidRDefault="001F30F0" w:rsidP="001F30F0">
      <w:pPr>
        <w:keepNext/>
        <w:widowControl/>
        <w:spacing w:before="240" w:after="240"/>
        <w:ind w:left="851" w:hanging="851"/>
        <w:outlineLvl w:val="3"/>
        <w:rPr>
          <w:b/>
          <w:bCs/>
          <w:iCs/>
          <w:szCs w:val="22"/>
          <w:lang w:bidi="ar-SA"/>
        </w:rPr>
      </w:pPr>
      <w:r w:rsidRPr="000B4545">
        <w:rPr>
          <w:b/>
          <w:bCs/>
          <w:iCs/>
          <w:szCs w:val="22"/>
          <w:lang w:bidi="ar-SA"/>
        </w:rPr>
        <w:t>Option 2 – reject the Application</w:t>
      </w:r>
    </w:p>
    <w:tbl>
      <w:tblPr>
        <w:tblStyle w:val="TableGrid3"/>
        <w:tblW w:w="9322" w:type="dxa"/>
        <w:tblLook w:val="04A0" w:firstRow="1" w:lastRow="0" w:firstColumn="1" w:lastColumn="0" w:noHBand="0" w:noVBand="1"/>
      </w:tblPr>
      <w:tblGrid>
        <w:gridCol w:w="1417"/>
        <w:gridCol w:w="7905"/>
      </w:tblGrid>
      <w:tr w:rsidR="001F30F0" w:rsidRPr="000B4545" w14:paraId="2F3AD2EF" w14:textId="77777777" w:rsidTr="00D0160A">
        <w:tc>
          <w:tcPr>
            <w:tcW w:w="0" w:type="auto"/>
            <w:shd w:val="clear" w:color="auto" w:fill="C2D69B" w:themeFill="accent3" w:themeFillTint="99"/>
          </w:tcPr>
          <w:p w14:paraId="2A7379F5" w14:textId="77777777" w:rsidR="001F30F0" w:rsidRPr="000B4545" w:rsidRDefault="001F30F0" w:rsidP="00D0160A">
            <w:pPr>
              <w:rPr>
                <w:b/>
                <w:szCs w:val="22"/>
              </w:rPr>
            </w:pPr>
            <w:r w:rsidRPr="000B4545">
              <w:rPr>
                <w:b/>
                <w:szCs w:val="22"/>
              </w:rPr>
              <w:t>Sector</w:t>
            </w:r>
          </w:p>
        </w:tc>
        <w:tc>
          <w:tcPr>
            <w:tcW w:w="7905" w:type="dxa"/>
            <w:shd w:val="clear" w:color="auto" w:fill="C2D69B" w:themeFill="accent3" w:themeFillTint="99"/>
          </w:tcPr>
          <w:p w14:paraId="2B1A68FF" w14:textId="77777777" w:rsidR="001F30F0" w:rsidRPr="000B4545" w:rsidRDefault="001F30F0" w:rsidP="00D0160A">
            <w:pPr>
              <w:rPr>
                <w:b/>
                <w:szCs w:val="22"/>
              </w:rPr>
            </w:pPr>
            <w:r w:rsidRPr="000B4545">
              <w:rPr>
                <w:b/>
                <w:szCs w:val="22"/>
              </w:rPr>
              <w:t xml:space="preserve">Costs or benefits </w:t>
            </w:r>
          </w:p>
        </w:tc>
      </w:tr>
      <w:tr w:rsidR="001F30F0" w:rsidRPr="000B4545" w14:paraId="6BF1970D" w14:textId="77777777" w:rsidTr="00D0160A">
        <w:tc>
          <w:tcPr>
            <w:tcW w:w="0" w:type="auto"/>
          </w:tcPr>
          <w:p w14:paraId="7EBADB8F" w14:textId="77777777" w:rsidR="001F30F0" w:rsidRPr="000B4545" w:rsidRDefault="001F30F0" w:rsidP="00D0160A">
            <w:pPr>
              <w:rPr>
                <w:sz w:val="20"/>
                <w:szCs w:val="20"/>
              </w:rPr>
            </w:pPr>
            <w:r w:rsidRPr="000B4545">
              <w:rPr>
                <w:sz w:val="20"/>
                <w:szCs w:val="20"/>
              </w:rPr>
              <w:t>Consumers</w:t>
            </w:r>
          </w:p>
        </w:tc>
        <w:tc>
          <w:tcPr>
            <w:tcW w:w="7905" w:type="dxa"/>
          </w:tcPr>
          <w:p w14:paraId="6185FAC1" w14:textId="77777777" w:rsidR="001F30F0" w:rsidRPr="000B4545" w:rsidRDefault="001F30F0" w:rsidP="00D0160A">
            <w:pPr>
              <w:rPr>
                <w:sz w:val="20"/>
                <w:szCs w:val="20"/>
              </w:rPr>
            </w:pPr>
            <w:r w:rsidRPr="000B4545">
              <w:rPr>
                <w:sz w:val="20"/>
                <w:szCs w:val="20"/>
              </w:rPr>
              <w:t xml:space="preserve">There are no benefits to consumers with this option. They would not have the option of purchasing </w:t>
            </w:r>
            <w:r>
              <w:rPr>
                <w:sz w:val="20"/>
                <w:szCs w:val="20"/>
              </w:rPr>
              <w:t xml:space="preserve">chewing gum </w:t>
            </w:r>
            <w:r w:rsidRPr="000B4545">
              <w:rPr>
                <w:sz w:val="20"/>
                <w:szCs w:val="20"/>
              </w:rPr>
              <w:t>products with flavour profile</w:t>
            </w:r>
            <w:r>
              <w:rPr>
                <w:sz w:val="20"/>
                <w:szCs w:val="20"/>
              </w:rPr>
              <w:t>s</w:t>
            </w:r>
            <w:r w:rsidRPr="000B4545">
              <w:rPr>
                <w:sz w:val="20"/>
                <w:szCs w:val="20"/>
              </w:rPr>
              <w:t xml:space="preserve"> </w:t>
            </w:r>
            <w:r>
              <w:rPr>
                <w:sz w:val="20"/>
                <w:szCs w:val="20"/>
              </w:rPr>
              <w:t xml:space="preserve">similar to those currently available overseas, </w:t>
            </w:r>
            <w:r w:rsidRPr="000B4545">
              <w:rPr>
                <w:sz w:val="20"/>
                <w:szCs w:val="20"/>
              </w:rPr>
              <w:t xml:space="preserve">which they might prefer to current </w:t>
            </w:r>
            <w:r>
              <w:rPr>
                <w:sz w:val="20"/>
                <w:szCs w:val="20"/>
              </w:rPr>
              <w:t xml:space="preserve">profiles available in Australia and New Zealand. </w:t>
            </w:r>
          </w:p>
        </w:tc>
      </w:tr>
      <w:tr w:rsidR="001F30F0" w:rsidRPr="000B4545" w14:paraId="372410EF" w14:textId="77777777" w:rsidTr="00D0160A">
        <w:tc>
          <w:tcPr>
            <w:tcW w:w="0" w:type="auto"/>
          </w:tcPr>
          <w:p w14:paraId="2E3CBEDE" w14:textId="77777777" w:rsidR="001F30F0" w:rsidRPr="000B4545" w:rsidRDefault="001F30F0" w:rsidP="00D0160A">
            <w:pPr>
              <w:rPr>
                <w:sz w:val="20"/>
                <w:szCs w:val="20"/>
              </w:rPr>
            </w:pPr>
            <w:r w:rsidRPr="000B4545">
              <w:rPr>
                <w:sz w:val="20"/>
                <w:szCs w:val="20"/>
              </w:rPr>
              <w:t>Industry</w:t>
            </w:r>
          </w:p>
        </w:tc>
        <w:tc>
          <w:tcPr>
            <w:tcW w:w="7905" w:type="dxa"/>
          </w:tcPr>
          <w:p w14:paraId="6B7308C3" w14:textId="77777777" w:rsidR="001F30F0" w:rsidRPr="000B4545" w:rsidRDefault="001F30F0" w:rsidP="00D0160A">
            <w:pPr>
              <w:rPr>
                <w:sz w:val="20"/>
                <w:szCs w:val="20"/>
              </w:rPr>
            </w:pPr>
            <w:r w:rsidRPr="000B4545">
              <w:rPr>
                <w:sz w:val="20"/>
                <w:szCs w:val="20"/>
              </w:rPr>
              <w:t>Industry would not</w:t>
            </w:r>
            <w:r>
              <w:rPr>
                <w:sz w:val="20"/>
                <w:szCs w:val="20"/>
              </w:rPr>
              <w:t xml:space="preserve"> be able to sell chewing gum which is claimed to have superior flavour profiles. </w:t>
            </w:r>
            <w:r w:rsidRPr="000B4545">
              <w:rPr>
                <w:sz w:val="20"/>
                <w:szCs w:val="20"/>
              </w:rPr>
              <w:t>They could be at a disadvantage compared to international competitors.</w:t>
            </w:r>
          </w:p>
        </w:tc>
      </w:tr>
      <w:tr w:rsidR="001F30F0" w:rsidRPr="000B4545" w14:paraId="1EAC1D39" w14:textId="77777777" w:rsidTr="00D0160A">
        <w:tc>
          <w:tcPr>
            <w:tcW w:w="0" w:type="auto"/>
          </w:tcPr>
          <w:p w14:paraId="7DAA7078" w14:textId="77777777" w:rsidR="001F30F0" w:rsidRPr="000B4545" w:rsidRDefault="001F30F0" w:rsidP="00D0160A">
            <w:pPr>
              <w:rPr>
                <w:sz w:val="20"/>
                <w:szCs w:val="20"/>
              </w:rPr>
            </w:pPr>
            <w:r w:rsidRPr="000B4545">
              <w:rPr>
                <w:sz w:val="20"/>
                <w:szCs w:val="20"/>
              </w:rPr>
              <w:t>Governments</w:t>
            </w:r>
          </w:p>
        </w:tc>
        <w:tc>
          <w:tcPr>
            <w:tcW w:w="7905" w:type="dxa"/>
          </w:tcPr>
          <w:p w14:paraId="0EA9AF05" w14:textId="77777777" w:rsidR="001F30F0" w:rsidRPr="000B4545" w:rsidRDefault="001F30F0" w:rsidP="00D0160A">
            <w:pPr>
              <w:rPr>
                <w:sz w:val="20"/>
                <w:szCs w:val="20"/>
              </w:rPr>
            </w:pPr>
            <w:r w:rsidRPr="000B4545">
              <w:rPr>
                <w:sz w:val="20"/>
                <w:szCs w:val="20"/>
              </w:rPr>
              <w:t>There would be no direct impacts on government agencies.</w:t>
            </w:r>
          </w:p>
        </w:tc>
      </w:tr>
    </w:tbl>
    <w:p w14:paraId="4BE9D558" w14:textId="77777777" w:rsidR="001F30F0" w:rsidRPr="000B4545" w:rsidRDefault="001F30F0" w:rsidP="001F30F0"/>
    <w:p w14:paraId="64AA6F4D" w14:textId="77777777" w:rsidR="001F30F0" w:rsidRPr="000B4545" w:rsidRDefault="001F30F0" w:rsidP="001F30F0">
      <w:pPr>
        <w:rPr>
          <w:lang w:bidi="ar-SA"/>
        </w:rPr>
      </w:pPr>
      <w:r w:rsidRPr="000B4545">
        <w:t xml:space="preserve">FSANZ considered that Option 1 to permit </w:t>
      </w:r>
      <w:r>
        <w:t>the requested increase in the MPL for Ace K in chewing gum wa</w:t>
      </w:r>
      <w:r w:rsidRPr="000B4545">
        <w:t xml:space="preserve">s the preferred option and has prepared </w:t>
      </w:r>
      <w:r>
        <w:t xml:space="preserve">a </w:t>
      </w:r>
      <w:r w:rsidRPr="000B4545">
        <w:t>draft variation to the revised Code</w:t>
      </w:r>
      <w:r w:rsidRPr="000B4545">
        <w:rPr>
          <w:lang w:bidi="ar-SA"/>
        </w:rPr>
        <w:t xml:space="preserve">. </w:t>
      </w:r>
    </w:p>
    <w:p w14:paraId="797CD11C" w14:textId="77777777" w:rsidR="001F30F0" w:rsidRPr="000B4545" w:rsidRDefault="001F30F0" w:rsidP="001F30F0">
      <w:pPr>
        <w:rPr>
          <w:lang w:bidi="ar-SA"/>
        </w:rPr>
      </w:pPr>
    </w:p>
    <w:p w14:paraId="446F0DD7" w14:textId="39C34265" w:rsidR="00910A30" w:rsidRDefault="001F30F0" w:rsidP="001F30F0">
      <w:r>
        <w:t xml:space="preserve">The direct and indirect benefits </w:t>
      </w:r>
      <w:r w:rsidRPr="00914030">
        <w:t xml:space="preserve">that would arise from a food </w:t>
      </w:r>
      <w:r>
        <w:t xml:space="preserve">regulatory measure </w:t>
      </w:r>
      <w:r w:rsidRPr="00914030">
        <w:t xml:space="preserve">varied as a result of the </w:t>
      </w:r>
      <w:r w:rsidRPr="00F8589E">
        <w:t xml:space="preserve">application </w:t>
      </w:r>
      <w:r w:rsidRPr="00914030">
        <w:t xml:space="preserve">outweigh the </w:t>
      </w:r>
      <w:r>
        <w:t>costs</w:t>
      </w:r>
      <w:r w:rsidRPr="00914030">
        <w:t xml:space="preserve"> to the community, Government or industry that wou</w:t>
      </w:r>
      <w:r>
        <w:t>ld arise from the</w:t>
      </w:r>
      <w:r w:rsidRPr="00914030">
        <w:t xml:space="preserve"> variation</w:t>
      </w:r>
      <w:r>
        <w:t xml:space="preserve"> of the food regulatory measure.</w:t>
      </w:r>
      <w:r w:rsidR="00910A30">
        <w:br w:type="page"/>
      </w:r>
    </w:p>
    <w:p w14:paraId="7372D5E2" w14:textId="0C0A7E43" w:rsidR="001F30F0" w:rsidRDefault="001F30F0" w:rsidP="001F30F0">
      <w:pPr>
        <w:pStyle w:val="Heading4"/>
      </w:pPr>
      <w:r>
        <w:lastRenderedPageBreak/>
        <w:t>2.</w:t>
      </w:r>
      <w:r w:rsidR="0011725B">
        <w:t>3</w:t>
      </w:r>
      <w:r>
        <w:t>.1.2</w:t>
      </w:r>
      <w:r>
        <w:tab/>
        <w:t>Other measures</w:t>
      </w:r>
    </w:p>
    <w:p w14:paraId="178424B5" w14:textId="77777777" w:rsidR="001F30F0" w:rsidRDefault="001F30F0" w:rsidP="001F30F0">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varied as a result of the </w:t>
      </w:r>
      <w:r w:rsidRPr="00E7391C">
        <w:t>Application</w:t>
      </w:r>
      <w:r>
        <w:t>.</w:t>
      </w:r>
    </w:p>
    <w:p w14:paraId="4380F2EB" w14:textId="0B0AA5D0" w:rsidR="001F30F0" w:rsidRDefault="001F30F0" w:rsidP="001F30F0">
      <w:pPr>
        <w:pStyle w:val="Heading4"/>
      </w:pPr>
      <w:r>
        <w:t>2.</w:t>
      </w:r>
      <w:r w:rsidR="0011725B">
        <w:t>3</w:t>
      </w:r>
      <w:r>
        <w:t>.1.3</w:t>
      </w:r>
      <w:r>
        <w:tab/>
        <w:t>A</w:t>
      </w:r>
      <w:r w:rsidRPr="00914030">
        <w:t>ny relevant New Zealand standards</w:t>
      </w:r>
    </w:p>
    <w:p w14:paraId="44F3FFEE" w14:textId="77777777" w:rsidR="001F30F0" w:rsidRDefault="001F30F0" w:rsidP="001F30F0">
      <w:pPr>
        <w:rPr>
          <w:lang w:bidi="ar-SA"/>
        </w:rPr>
      </w:pPr>
      <w:r>
        <w:rPr>
          <w:lang w:bidi="ar-SA"/>
        </w:rPr>
        <w:t>Schedule 15 applies in both Australia and New Zealand.</w:t>
      </w:r>
    </w:p>
    <w:p w14:paraId="5FAE3024" w14:textId="55BF39E6" w:rsidR="001F30F0" w:rsidRPr="00914030" w:rsidRDefault="001F30F0" w:rsidP="001F30F0">
      <w:pPr>
        <w:pStyle w:val="Heading4"/>
      </w:pPr>
      <w:r>
        <w:t>2.</w:t>
      </w:r>
      <w:r w:rsidR="0011725B">
        <w:t>3</w:t>
      </w:r>
      <w:r>
        <w:t>.1.4</w:t>
      </w:r>
      <w:r>
        <w:tab/>
        <w:t>Any other relevant matters</w:t>
      </w:r>
    </w:p>
    <w:p w14:paraId="3879B763" w14:textId="77777777" w:rsidR="001F30F0" w:rsidRDefault="001F30F0" w:rsidP="001F30F0">
      <w:pPr>
        <w:rPr>
          <w:lang w:bidi="ar-SA"/>
        </w:rPr>
      </w:pPr>
      <w:r>
        <w:rPr>
          <w:lang w:bidi="ar-SA"/>
        </w:rPr>
        <w:t>Other relevant matters are considered below.</w:t>
      </w:r>
    </w:p>
    <w:p w14:paraId="307D106E" w14:textId="5236C600" w:rsidR="001F30F0" w:rsidRPr="00914030" w:rsidRDefault="001F30F0" w:rsidP="001F30F0">
      <w:pPr>
        <w:pStyle w:val="Heading3"/>
      </w:pPr>
      <w:bookmarkStart w:id="57" w:name="_Toc427676508"/>
      <w:r>
        <w:t>2.</w:t>
      </w:r>
      <w:r w:rsidR="0011725B">
        <w:t>3</w:t>
      </w:r>
      <w:r>
        <w:t>.2</w:t>
      </w:r>
      <w:r w:rsidRPr="00914030">
        <w:t>.</w:t>
      </w:r>
      <w:r w:rsidRPr="00914030">
        <w:tab/>
      </w:r>
      <w:r>
        <w:t>Subsection 18(1)</w:t>
      </w:r>
      <w:bookmarkEnd w:id="57"/>
      <w:r>
        <w:t xml:space="preserve"> </w:t>
      </w:r>
    </w:p>
    <w:p w14:paraId="48EC2008" w14:textId="77777777" w:rsidR="001F30F0" w:rsidRPr="00914030" w:rsidRDefault="001F30F0" w:rsidP="001F30F0">
      <w:r w:rsidRPr="00914030">
        <w:rPr>
          <w:rFonts w:cs="Arial"/>
        </w:rPr>
        <w:t xml:space="preserve">FSANZ has also </w:t>
      </w:r>
      <w:r w:rsidRPr="00914030">
        <w:t xml:space="preserve">considered the three objectives in subsection 18(1) of the </w:t>
      </w:r>
      <w:r>
        <w:t>FSANZ Act during the assessment.</w:t>
      </w:r>
    </w:p>
    <w:p w14:paraId="2595A51B" w14:textId="4263E8B3" w:rsidR="001F30F0" w:rsidRPr="00914030" w:rsidRDefault="001F30F0" w:rsidP="001F30F0">
      <w:pPr>
        <w:pStyle w:val="Heading4"/>
        <w:rPr>
          <w:lang w:eastAsia="en-AU"/>
        </w:rPr>
      </w:pPr>
      <w:r>
        <w:rPr>
          <w:lang w:eastAsia="en-AU"/>
        </w:rPr>
        <w:t>2.</w:t>
      </w:r>
      <w:r w:rsidR="0011725B">
        <w:rPr>
          <w:lang w:eastAsia="en-AU"/>
        </w:rPr>
        <w:t>3</w:t>
      </w:r>
      <w:r>
        <w:rPr>
          <w:lang w:eastAsia="en-AU"/>
        </w:rPr>
        <w:t>.2</w:t>
      </w:r>
      <w:r w:rsidRPr="00914030">
        <w:rPr>
          <w:lang w:eastAsia="en-AU"/>
        </w:rPr>
        <w:t>.1</w:t>
      </w:r>
      <w:r w:rsidRPr="00914030">
        <w:rPr>
          <w:lang w:eastAsia="en-AU"/>
        </w:rPr>
        <w:tab/>
        <w:t>Protection of public health and safety</w:t>
      </w:r>
    </w:p>
    <w:p w14:paraId="78EBBA3F" w14:textId="69FAB63E" w:rsidR="001F30F0" w:rsidRDefault="001F30F0" w:rsidP="001F30F0">
      <w:r w:rsidRPr="005C05FA">
        <w:t xml:space="preserve">Ace K </w:t>
      </w:r>
      <w:r>
        <w:t>has been a permitted food additive in the Code for many years, in a range of food categories as detailed in Schedule 15. FSANZ has undertaken a safety assessment (see SD</w:t>
      </w:r>
      <w:r w:rsidR="0013402E">
        <w:t>2</w:t>
      </w:r>
      <w:r>
        <w:t xml:space="preserve"> and Section 2.1</w:t>
      </w:r>
      <w:r w:rsidRPr="00CB6212">
        <w:t xml:space="preserve"> above</w:t>
      </w:r>
      <w:r>
        <w:t xml:space="preserve">) and concluded that there are no public health and safety concerns from increasing the MPL from 2000 mg/kg to 5000 mg/kg in chewing gum. </w:t>
      </w:r>
    </w:p>
    <w:p w14:paraId="065500FF" w14:textId="712F3534" w:rsidR="001F30F0" w:rsidRPr="00914030" w:rsidRDefault="001F30F0" w:rsidP="001F30F0">
      <w:pPr>
        <w:pStyle w:val="Heading4"/>
        <w:rPr>
          <w:lang w:eastAsia="en-AU"/>
        </w:rPr>
      </w:pPr>
      <w:r>
        <w:rPr>
          <w:lang w:eastAsia="en-AU"/>
        </w:rPr>
        <w:t>2.</w:t>
      </w:r>
      <w:r w:rsidR="0011725B">
        <w:rPr>
          <w:lang w:eastAsia="en-AU"/>
        </w:rPr>
        <w:t>3</w:t>
      </w:r>
      <w:r>
        <w:rPr>
          <w:lang w:eastAsia="en-AU"/>
        </w:rPr>
        <w:t>.2.</w:t>
      </w:r>
      <w:r w:rsidRPr="00914030">
        <w:rPr>
          <w:lang w:eastAsia="en-AU"/>
        </w:rPr>
        <w:t>2</w:t>
      </w:r>
      <w:r w:rsidRPr="00914030">
        <w:rPr>
          <w:lang w:eastAsia="en-AU"/>
        </w:rPr>
        <w:tab/>
        <w:t>The provision of adequate information relating to food to enable consumers to make informed choices</w:t>
      </w:r>
    </w:p>
    <w:p w14:paraId="0613DEBA" w14:textId="77777777" w:rsidR="001F30F0" w:rsidRPr="00A32219" w:rsidRDefault="001F30F0" w:rsidP="001F30F0">
      <w:r>
        <w:t xml:space="preserve">This variation to the Code does not vary the generic labelling requirements applicable to chewing gum, to provide information to consumers. </w:t>
      </w:r>
    </w:p>
    <w:p w14:paraId="43543FDD" w14:textId="153EEED3" w:rsidR="001F30F0" w:rsidRPr="00914030" w:rsidRDefault="001F30F0" w:rsidP="001F30F0">
      <w:pPr>
        <w:pStyle w:val="Heading4"/>
        <w:rPr>
          <w:lang w:eastAsia="en-AU"/>
        </w:rPr>
      </w:pPr>
      <w:r>
        <w:rPr>
          <w:lang w:eastAsia="en-AU"/>
        </w:rPr>
        <w:t>2.</w:t>
      </w:r>
      <w:r w:rsidR="0011725B">
        <w:rPr>
          <w:lang w:eastAsia="en-AU"/>
        </w:rPr>
        <w:t>3</w:t>
      </w:r>
      <w:r>
        <w:rPr>
          <w:lang w:eastAsia="en-AU"/>
        </w:rPr>
        <w:t>.2.</w:t>
      </w:r>
      <w:r w:rsidRPr="00914030">
        <w:rPr>
          <w:lang w:eastAsia="en-AU"/>
        </w:rPr>
        <w:t>3</w:t>
      </w:r>
      <w:r w:rsidRPr="00914030">
        <w:rPr>
          <w:lang w:eastAsia="en-AU"/>
        </w:rPr>
        <w:tab/>
        <w:t>The prevention of misleading or deceptive conduct</w:t>
      </w:r>
    </w:p>
    <w:p w14:paraId="1222E744" w14:textId="77777777" w:rsidR="001F30F0" w:rsidRPr="001B2EB6" w:rsidRDefault="001F30F0" w:rsidP="001F30F0">
      <w:r>
        <w:t xml:space="preserve">FSANZ has not identified any relevant issues relating to the prevention of misleading or deceptive conduct for this Application. </w:t>
      </w:r>
    </w:p>
    <w:p w14:paraId="600ED758" w14:textId="33A55648" w:rsidR="001F30F0" w:rsidRPr="00914030" w:rsidRDefault="001F30F0" w:rsidP="001F30F0">
      <w:pPr>
        <w:pStyle w:val="Heading3"/>
      </w:pPr>
      <w:bookmarkStart w:id="58" w:name="_Toc427676509"/>
      <w:r>
        <w:t>2.</w:t>
      </w:r>
      <w:r w:rsidR="0011725B">
        <w:t>3</w:t>
      </w:r>
      <w:r>
        <w:t>.3</w:t>
      </w:r>
      <w:r w:rsidRPr="00914030">
        <w:tab/>
        <w:t>Subsection 18(2) considerations</w:t>
      </w:r>
      <w:bookmarkEnd w:id="58"/>
    </w:p>
    <w:p w14:paraId="34683B4A" w14:textId="77777777" w:rsidR="001F30F0" w:rsidRPr="00914030" w:rsidRDefault="001F30F0" w:rsidP="001F30F0">
      <w:pPr>
        <w:rPr>
          <w:rFonts w:cs="Arial"/>
        </w:rPr>
      </w:pPr>
      <w:r w:rsidRPr="00914030">
        <w:rPr>
          <w:rFonts w:cs="Arial"/>
        </w:rPr>
        <w:t>FSANZ has also had regard to:</w:t>
      </w:r>
    </w:p>
    <w:p w14:paraId="1DB74413" w14:textId="77777777" w:rsidR="001F30F0" w:rsidRPr="00914030" w:rsidRDefault="001F30F0" w:rsidP="001F30F0">
      <w:pPr>
        <w:rPr>
          <w:rFonts w:cs="Arial"/>
        </w:rPr>
      </w:pPr>
    </w:p>
    <w:p w14:paraId="1ABB5D9A" w14:textId="77777777" w:rsidR="001F30F0" w:rsidRPr="008828D9" w:rsidRDefault="001F30F0" w:rsidP="001F30F0">
      <w:pPr>
        <w:pStyle w:val="FSBullet1"/>
        <w:rPr>
          <w:b/>
        </w:rPr>
      </w:pPr>
      <w:r w:rsidRPr="008828D9">
        <w:rPr>
          <w:b/>
        </w:rPr>
        <w:t>the need for standards to be based on risk analysis using the best available scientific evidence</w:t>
      </w:r>
    </w:p>
    <w:p w14:paraId="2102A87A" w14:textId="77777777" w:rsidR="001F30F0" w:rsidRDefault="001F30F0" w:rsidP="001F30F0">
      <w:pPr>
        <w:rPr>
          <w:lang w:bidi="ar-SA"/>
        </w:rPr>
      </w:pPr>
    </w:p>
    <w:p w14:paraId="7E060764" w14:textId="77777777" w:rsidR="001F30F0" w:rsidRPr="00872240" w:rsidRDefault="001F30F0" w:rsidP="001F30F0">
      <w:r w:rsidRPr="00CB6212">
        <w:t>This Application was assessed using the best</w:t>
      </w:r>
      <w:r>
        <w:t xml:space="preserve"> available scientific evidence.</w:t>
      </w:r>
      <w:r w:rsidRPr="00CB6212">
        <w:t xml:space="preserve"> The Applicant submitted information on scientific studies in support of the Application. Other resource material including </w:t>
      </w:r>
      <w:r>
        <w:t>g</w:t>
      </w:r>
      <w:r w:rsidRPr="00CB6212">
        <w:t>eneral technical information was also used to assess this Application</w:t>
      </w:r>
    </w:p>
    <w:p w14:paraId="48567493" w14:textId="77777777" w:rsidR="001F30F0" w:rsidRPr="008828D9" w:rsidRDefault="001F30F0" w:rsidP="001F30F0">
      <w:pPr>
        <w:rPr>
          <w:lang w:bidi="ar-SA"/>
        </w:rPr>
      </w:pPr>
    </w:p>
    <w:p w14:paraId="37C2FECC" w14:textId="77777777" w:rsidR="001F30F0" w:rsidRPr="008828D9" w:rsidRDefault="001F30F0" w:rsidP="001F30F0">
      <w:pPr>
        <w:pStyle w:val="FSBullet1"/>
        <w:rPr>
          <w:b/>
        </w:rPr>
      </w:pPr>
      <w:r w:rsidRPr="008828D9">
        <w:rPr>
          <w:b/>
        </w:rPr>
        <w:t>the promotion of consistency between domestic and international food standards</w:t>
      </w:r>
    </w:p>
    <w:p w14:paraId="4EB5B851" w14:textId="77777777" w:rsidR="001F30F0" w:rsidRDefault="001F30F0" w:rsidP="001F30F0">
      <w:pPr>
        <w:rPr>
          <w:lang w:bidi="ar-SA"/>
        </w:rPr>
      </w:pPr>
    </w:p>
    <w:p w14:paraId="2C6CDDF5" w14:textId="5F888CFD" w:rsidR="001F30F0" w:rsidRDefault="001F30F0" w:rsidP="001F30F0">
      <w:r>
        <w:t xml:space="preserve">The proposed amendment (food additive permission) makes the Australian and New Zealand regulations for production of chewing gum consistent with food standards in other countries (see Section </w:t>
      </w:r>
      <w:r w:rsidRPr="00CB6212">
        <w:t>1.3.1)</w:t>
      </w:r>
    </w:p>
    <w:p w14:paraId="1495ADD7" w14:textId="77777777" w:rsidR="001F30F0" w:rsidRDefault="001F30F0">
      <w:pPr>
        <w:widowControl/>
      </w:pPr>
      <w:r>
        <w:br w:type="page"/>
      </w:r>
    </w:p>
    <w:p w14:paraId="7A5F2E94" w14:textId="77777777" w:rsidR="001F30F0" w:rsidRPr="008828D9" w:rsidRDefault="001F30F0" w:rsidP="001F30F0">
      <w:pPr>
        <w:pStyle w:val="FSBullet1"/>
        <w:rPr>
          <w:b/>
        </w:rPr>
      </w:pPr>
      <w:r w:rsidRPr="008828D9">
        <w:rPr>
          <w:b/>
        </w:rPr>
        <w:lastRenderedPageBreak/>
        <w:t>the desirability of an efficient and internationally competitive food industry</w:t>
      </w:r>
    </w:p>
    <w:p w14:paraId="308ADD73" w14:textId="77777777" w:rsidR="001F30F0" w:rsidRDefault="001F30F0" w:rsidP="001F30F0">
      <w:pPr>
        <w:rPr>
          <w:lang w:bidi="ar-SA"/>
        </w:rPr>
      </w:pPr>
    </w:p>
    <w:p w14:paraId="5A5E5E04" w14:textId="77777777" w:rsidR="001F30F0" w:rsidRPr="007668DD" w:rsidRDefault="001F30F0" w:rsidP="001F30F0">
      <w:r>
        <w:t>The draft variation is expected to have a positive effect on the local chewing gum industry as it will allow the manufacture of chewing gum with taste profiles which are currently not available in Australia or New Zealand but are available in overseas markets.</w:t>
      </w:r>
    </w:p>
    <w:p w14:paraId="31762DCE" w14:textId="1C5344CE" w:rsidR="001F30F0" w:rsidRDefault="001F30F0" w:rsidP="001F30F0">
      <w:pPr>
        <w:pStyle w:val="FSBullet1"/>
        <w:numPr>
          <w:ilvl w:val="0"/>
          <w:numId w:val="0"/>
        </w:numPr>
        <w:ind w:left="567"/>
        <w:rPr>
          <w:b/>
        </w:rPr>
      </w:pPr>
    </w:p>
    <w:p w14:paraId="1DC80324" w14:textId="77777777" w:rsidR="001F30F0" w:rsidRPr="008828D9" w:rsidRDefault="001F30F0" w:rsidP="001F30F0">
      <w:pPr>
        <w:pStyle w:val="FSBullet1"/>
        <w:rPr>
          <w:b/>
        </w:rPr>
      </w:pPr>
      <w:r w:rsidRPr="008828D9">
        <w:rPr>
          <w:b/>
        </w:rPr>
        <w:t>the promotion of fair trading in food</w:t>
      </w:r>
    </w:p>
    <w:p w14:paraId="1D2D449C" w14:textId="77777777" w:rsidR="001F30F0" w:rsidRDefault="001F30F0" w:rsidP="001F30F0">
      <w:pPr>
        <w:rPr>
          <w:lang w:bidi="ar-SA"/>
        </w:rPr>
      </w:pPr>
    </w:p>
    <w:p w14:paraId="6CADE7EA" w14:textId="77777777" w:rsidR="001F30F0" w:rsidRPr="002C1CB4" w:rsidRDefault="001F30F0" w:rsidP="001F30F0">
      <w:r>
        <w:t xml:space="preserve">Not applicable </w:t>
      </w:r>
    </w:p>
    <w:p w14:paraId="66A6F4A4" w14:textId="77777777" w:rsidR="001F30F0" w:rsidRPr="008828D9" w:rsidRDefault="001F30F0" w:rsidP="001F30F0">
      <w:pPr>
        <w:rPr>
          <w:lang w:bidi="ar-SA"/>
        </w:rPr>
      </w:pPr>
    </w:p>
    <w:p w14:paraId="2E04225A" w14:textId="77777777" w:rsidR="001F30F0" w:rsidRPr="005E2F53" w:rsidRDefault="001F30F0" w:rsidP="001F30F0">
      <w:pPr>
        <w:pStyle w:val="FSBullet1"/>
      </w:pPr>
      <w:r w:rsidRPr="008828D9">
        <w:rPr>
          <w:b/>
        </w:rPr>
        <w:t>any written policy guidelines formulated by the Ministerial Council</w:t>
      </w:r>
      <w:r w:rsidRPr="005E2F53">
        <w:rPr>
          <w:rStyle w:val="FootnoteReference"/>
        </w:rPr>
        <w:footnoteReference w:id="4"/>
      </w:r>
    </w:p>
    <w:p w14:paraId="6FA6AA50" w14:textId="77777777" w:rsidR="001F30F0" w:rsidRDefault="001F30F0" w:rsidP="001F30F0">
      <w:pPr>
        <w:rPr>
          <w:lang w:bidi="ar-SA"/>
        </w:rPr>
      </w:pPr>
    </w:p>
    <w:p w14:paraId="67E0B42C" w14:textId="77777777" w:rsidR="001F30F0" w:rsidRPr="00BF3413" w:rsidRDefault="001F30F0" w:rsidP="001F30F0">
      <w:pPr>
        <w:keepNext/>
        <w:keepLines/>
      </w:pPr>
      <w:r w:rsidRPr="00BF3413">
        <w:t xml:space="preserve">The Policy Guideline </w:t>
      </w:r>
      <w:r>
        <w:t>‘</w:t>
      </w:r>
      <w:r w:rsidRPr="00BF3413">
        <w:t>Addition to Food of Substances other than Vitamins and Minerals</w:t>
      </w:r>
      <w:r>
        <w:t>’</w:t>
      </w:r>
      <w:r>
        <w:rPr>
          <w:rStyle w:val="FootnoteReference"/>
        </w:rPr>
        <w:footnoteReference w:id="5"/>
      </w:r>
      <w:r w:rsidRPr="00BF3413">
        <w:t xml:space="preserve"> includes specific order policy principles for substances added to achieve a solely technological function, such as food additives. These specific order policy principles state that permission should be granted where:</w:t>
      </w:r>
    </w:p>
    <w:p w14:paraId="326CF897" w14:textId="77777777" w:rsidR="001F30F0" w:rsidRPr="00BF3413" w:rsidRDefault="001F30F0" w:rsidP="001F30F0"/>
    <w:p w14:paraId="19899552" w14:textId="77777777" w:rsidR="001F30F0" w:rsidRPr="00BF3413" w:rsidRDefault="001F30F0" w:rsidP="001F30F0">
      <w:pPr>
        <w:pStyle w:val="FSBullet1"/>
      </w:pPr>
      <w:r w:rsidRPr="00BF3413">
        <w:t>the purpose for adding the substance can be articulated clearly by the manufacturer as achieving a solely technological function (i.e. the ‘stated purpose’)</w:t>
      </w:r>
    </w:p>
    <w:p w14:paraId="4E3223CF" w14:textId="77777777" w:rsidR="001F30F0" w:rsidRPr="00BF3413" w:rsidRDefault="001F30F0" w:rsidP="001F30F0">
      <w:pPr>
        <w:pStyle w:val="FSBullet1"/>
      </w:pPr>
      <w:r w:rsidRPr="00BF3413">
        <w:t>the addition of the substance to food is safe for human consumption</w:t>
      </w:r>
    </w:p>
    <w:p w14:paraId="74949ECD" w14:textId="77777777" w:rsidR="001F30F0" w:rsidRPr="00BF3413" w:rsidRDefault="001F30F0" w:rsidP="001F30F0">
      <w:pPr>
        <w:pStyle w:val="FSBullet1"/>
      </w:pPr>
      <w:r w:rsidRPr="00BF3413">
        <w:t>the amounts added are consistent with achieving the technological function</w:t>
      </w:r>
    </w:p>
    <w:p w14:paraId="049D202D" w14:textId="77777777" w:rsidR="001F30F0" w:rsidRPr="00BF3413" w:rsidRDefault="001F30F0" w:rsidP="001F30F0">
      <w:pPr>
        <w:pStyle w:val="FSBullet1"/>
      </w:pPr>
      <w:r w:rsidRPr="00BF3413">
        <w:t>the substance is added in a quantity and a form which is consistent with delivering the stated purpose</w:t>
      </w:r>
    </w:p>
    <w:p w14:paraId="1AE82203" w14:textId="77777777" w:rsidR="001F30F0" w:rsidRPr="00BF3413" w:rsidRDefault="001F30F0" w:rsidP="001F30F0">
      <w:pPr>
        <w:pStyle w:val="FSBullet1"/>
      </w:pPr>
      <w:r w:rsidRPr="00BF3413">
        <w:t>no nutrition, health or related claims are to be made in regard to the substance.</w:t>
      </w:r>
    </w:p>
    <w:p w14:paraId="566D8164" w14:textId="77777777" w:rsidR="001F30F0" w:rsidRPr="00BF3413" w:rsidRDefault="001F30F0" w:rsidP="001F30F0"/>
    <w:p w14:paraId="6E66E3EC" w14:textId="46965FFA" w:rsidR="001F30F0" w:rsidRPr="00433B39" w:rsidRDefault="001F30F0" w:rsidP="00433B39">
      <w:r w:rsidRPr="00BF3413">
        <w:t>FSANZ has determined that permitting</w:t>
      </w:r>
      <w:r>
        <w:t xml:space="preserve"> a higher MPL of the food additive Ace K in chewing gum is consistent with these specific order policy principles.  </w:t>
      </w:r>
    </w:p>
    <w:p w14:paraId="658A8418" w14:textId="794E6089" w:rsidR="00E520FE" w:rsidRPr="00932F14" w:rsidRDefault="00590C86" w:rsidP="00E520FE">
      <w:pPr>
        <w:pStyle w:val="Heading2"/>
      </w:pPr>
      <w:bookmarkStart w:id="59" w:name="_Toc300933435"/>
      <w:bookmarkStart w:id="60" w:name="_Toc427676510"/>
      <w:r>
        <w:t>2.</w:t>
      </w:r>
      <w:r w:rsidR="0011725B">
        <w:t>4</w:t>
      </w:r>
      <w:r w:rsidR="00E520FE">
        <w:tab/>
        <w:t>Risk communication</w:t>
      </w:r>
      <w:bookmarkEnd w:id="59"/>
      <w:bookmarkEnd w:id="60"/>
      <w:r w:rsidR="00E520FE">
        <w:t xml:space="preserve"> </w:t>
      </w:r>
    </w:p>
    <w:p w14:paraId="658A841A" w14:textId="4AE62C75" w:rsidR="0027513D" w:rsidRPr="00350446" w:rsidRDefault="00590C86" w:rsidP="00350446">
      <w:pPr>
        <w:pStyle w:val="Heading3"/>
      </w:pPr>
      <w:bookmarkStart w:id="61" w:name="_Toc300933437"/>
      <w:bookmarkStart w:id="62" w:name="_Toc427676511"/>
      <w:bookmarkStart w:id="63" w:name="_Toc286391012"/>
      <w:r w:rsidRPr="00350446">
        <w:t>2.</w:t>
      </w:r>
      <w:r w:rsidR="0011725B">
        <w:t>4</w:t>
      </w:r>
      <w:r w:rsidRPr="00350446">
        <w:t>.</w:t>
      </w:r>
      <w:r w:rsidR="00E520FE" w:rsidRPr="00350446">
        <w:t>1</w:t>
      </w:r>
      <w:r w:rsidR="00E520FE" w:rsidRPr="00350446">
        <w:tab/>
        <w:t>Consultation</w:t>
      </w:r>
      <w:bookmarkEnd w:id="61"/>
      <w:bookmarkEnd w:id="62"/>
    </w:p>
    <w:p w14:paraId="32696AE2" w14:textId="52BA3B8B" w:rsidR="003550E8" w:rsidRPr="00A33ADE" w:rsidRDefault="003550E8" w:rsidP="003550E8">
      <w:r w:rsidRPr="00A33ADE">
        <w:t>FSANZ has developed and applied a basic communication strategy to this Application</w:t>
      </w:r>
      <w:r w:rsidR="001847AE">
        <w:t>, involving one call for submissions</w:t>
      </w:r>
      <w:r w:rsidRPr="00A33ADE">
        <w:t xml:space="preserve">. All calls for submissions are notified via the Food Standards Notification Circular, media release, FSANZ’s social media tools and Food Standards News. </w:t>
      </w:r>
    </w:p>
    <w:p w14:paraId="11361DB2" w14:textId="77777777" w:rsidR="003550E8" w:rsidRPr="00A33ADE" w:rsidRDefault="003550E8" w:rsidP="003550E8"/>
    <w:p w14:paraId="641E007A" w14:textId="77777777" w:rsidR="003550E8" w:rsidRPr="00A33ADE" w:rsidRDefault="003550E8" w:rsidP="003550E8">
      <w:r w:rsidRPr="00A33ADE">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6E054376" w14:textId="77777777" w:rsidR="003550E8" w:rsidRPr="00A33ADE" w:rsidRDefault="003550E8" w:rsidP="003550E8"/>
    <w:p w14:paraId="5AFA071E" w14:textId="153D01FA" w:rsidR="003550E8" w:rsidRPr="00A33ADE" w:rsidRDefault="003550E8" w:rsidP="003550E8">
      <w:r w:rsidRPr="00A33ADE">
        <w:t>The draft variation will be considered for approval by the Board taking into account public comments received from this call for submissions.</w:t>
      </w:r>
    </w:p>
    <w:p w14:paraId="0A680562" w14:textId="5BDF75F7" w:rsidR="004E791C" w:rsidRDefault="004E791C" w:rsidP="003550E8"/>
    <w:p w14:paraId="43E94559" w14:textId="5F458E11" w:rsidR="003550E8" w:rsidRPr="00A33ADE" w:rsidRDefault="003550E8" w:rsidP="003550E8">
      <w:r w:rsidRPr="00A33ADE">
        <w:t xml:space="preserve">The </w:t>
      </w:r>
      <w:r w:rsidR="00125430">
        <w:t>Applicant, i</w:t>
      </w:r>
      <w:r w:rsidRPr="00A33ADE">
        <w:t xml:space="preserve">ndividuals and organisations that make submissions on this Application will be notified at each stage of the assessment. Subscribers and interested parties are also notified via email about the availability of reports for public comment. </w:t>
      </w:r>
    </w:p>
    <w:p w14:paraId="671636AE" w14:textId="4CE4D409" w:rsidR="00910A30" w:rsidRDefault="00910A30" w:rsidP="003550E8">
      <w:r>
        <w:br w:type="page"/>
      </w:r>
    </w:p>
    <w:p w14:paraId="4FD32568" w14:textId="071AA8E9" w:rsidR="00125430" w:rsidRDefault="00125430" w:rsidP="00125430">
      <w:pPr>
        <w:pStyle w:val="Default"/>
        <w:rPr>
          <w:szCs w:val="22"/>
        </w:rPr>
      </w:pPr>
      <w:r>
        <w:rPr>
          <w:sz w:val="22"/>
          <w:szCs w:val="22"/>
        </w:rPr>
        <w:lastRenderedPageBreak/>
        <w:t xml:space="preserve">If the draft variation to the Code is approved by the FSANZ Board, that decision will be notified to the </w:t>
      </w:r>
      <w:r w:rsidRPr="00D8289F">
        <w:rPr>
          <w:rFonts w:cs="Helvetica"/>
          <w:sz w:val="22"/>
          <w:lang w:val="en-AU"/>
        </w:rPr>
        <w:t xml:space="preserve">Australia and New Zealand Ministerial Forum on Food </w:t>
      </w:r>
      <w:r w:rsidRPr="00D8289F">
        <w:rPr>
          <w:sz w:val="22"/>
        </w:rPr>
        <w:t>Regulation</w:t>
      </w:r>
      <w:r w:rsidRPr="00D8289F">
        <w:rPr>
          <w:rStyle w:val="FootnoteReference"/>
          <w:sz w:val="22"/>
        </w:rPr>
        <w:footnoteReference w:id="6"/>
      </w:r>
      <w:r w:rsidRPr="00D8289F">
        <w:rPr>
          <w:rFonts w:cs="Helvetica"/>
          <w:sz w:val="22"/>
          <w:lang w:val="en-AU"/>
        </w:rPr>
        <w:t xml:space="preserve"> </w:t>
      </w:r>
      <w:r w:rsidRPr="00D8289F">
        <w:rPr>
          <w:sz w:val="22"/>
        </w:rPr>
        <w:t>(Forum)</w:t>
      </w:r>
      <w:r>
        <w:rPr>
          <w:sz w:val="22"/>
          <w:szCs w:val="22"/>
        </w:rPr>
        <w:t>. If the decision is not subject to a request for a review, the Applicant and stakeholders, including the public, will be notified of the gazettal of the variation to the Code in the national press and on the FSANZ website.</w:t>
      </w:r>
    </w:p>
    <w:p w14:paraId="658A8423" w14:textId="35B87C08" w:rsidR="00E520FE" w:rsidRPr="00022DBC" w:rsidRDefault="00590C86" w:rsidP="00022DBC">
      <w:pPr>
        <w:pStyle w:val="Heading3"/>
      </w:pPr>
      <w:bookmarkStart w:id="64" w:name="_Toc300761912"/>
      <w:bookmarkStart w:id="65" w:name="_Toc300933439"/>
      <w:bookmarkStart w:id="66" w:name="_Toc427676512"/>
      <w:bookmarkEnd w:id="63"/>
      <w:r>
        <w:t>2.</w:t>
      </w:r>
      <w:r w:rsidR="0011725B">
        <w:t>4</w:t>
      </w:r>
      <w:r w:rsidR="00022DBC" w:rsidRPr="00022DBC">
        <w:t>.2</w:t>
      </w:r>
      <w:r w:rsidR="00E520FE" w:rsidRPr="00022DBC">
        <w:tab/>
        <w:t>World Trade Organization (WTO)</w:t>
      </w:r>
      <w:bookmarkEnd w:id="64"/>
      <w:bookmarkEnd w:id="65"/>
      <w:bookmarkEnd w:id="66"/>
    </w:p>
    <w:p w14:paraId="658A8424"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58A8425" w14:textId="0EC6BFAA" w:rsidR="00E520FE" w:rsidRPr="00D14405" w:rsidRDefault="00E520FE" w:rsidP="00E520FE">
      <w:pPr>
        <w:rPr>
          <w:color w:val="FF0000"/>
        </w:rPr>
      </w:pPr>
    </w:p>
    <w:p w14:paraId="658A8426" w14:textId="7503631E" w:rsidR="00E520FE" w:rsidRPr="0024582E" w:rsidRDefault="00E520FE" w:rsidP="00E520FE">
      <w:pPr>
        <w:tabs>
          <w:tab w:val="left" w:pos="1560"/>
        </w:tabs>
        <w:rPr>
          <w:rFonts w:cs="Arial"/>
          <w:iCs/>
        </w:rPr>
      </w:pPr>
      <w:r w:rsidRPr="00DC6570">
        <w:rPr>
          <w:rFonts w:cs="Arial"/>
        </w:rPr>
        <w:t xml:space="preserve">There </w:t>
      </w:r>
      <w:r w:rsidRPr="00B278B5">
        <w:rPr>
          <w:rFonts w:cs="Arial"/>
        </w:rPr>
        <w:t xml:space="preserve">are </w:t>
      </w:r>
      <w:r w:rsidRPr="00DC6570">
        <w:rPr>
          <w:rFonts w:cs="Arial"/>
        </w:rPr>
        <w:t xml:space="preserve">relevant international standards and amending the Code to </w:t>
      </w:r>
      <w:r w:rsidR="00A33ADE">
        <w:rPr>
          <w:rFonts w:cs="Arial"/>
        </w:rPr>
        <w:t xml:space="preserve">increase the </w:t>
      </w:r>
      <w:r w:rsidR="0097212F">
        <w:rPr>
          <w:rFonts w:cs="Arial"/>
        </w:rPr>
        <w:t>M</w:t>
      </w:r>
      <w:r w:rsidR="003025BE">
        <w:rPr>
          <w:rFonts w:cs="Arial"/>
        </w:rPr>
        <w:t>PL</w:t>
      </w:r>
      <w:r w:rsidR="0097212F">
        <w:rPr>
          <w:rFonts w:cs="Arial"/>
        </w:rPr>
        <w:t xml:space="preserve"> of Ace</w:t>
      </w:r>
      <w:r w:rsidR="003C7D7F">
        <w:rPr>
          <w:rFonts w:cs="Arial"/>
        </w:rPr>
        <w:t xml:space="preserve"> </w:t>
      </w:r>
      <w:r w:rsidR="0097212F">
        <w:rPr>
          <w:rFonts w:cs="Arial"/>
        </w:rPr>
        <w:t xml:space="preserve">K in chewing gum </w:t>
      </w:r>
      <w:r w:rsidRPr="00DC6570">
        <w:rPr>
          <w:rFonts w:cs="Arial"/>
        </w:rPr>
        <w:t>is</w:t>
      </w:r>
      <w:r w:rsidR="00276BB3">
        <w:rPr>
          <w:rFonts w:cs="Arial"/>
        </w:rPr>
        <w:t xml:space="preserve"> </w:t>
      </w:r>
      <w:r w:rsidR="00AB68CF">
        <w:rPr>
          <w:rFonts w:cs="Arial"/>
        </w:rPr>
        <w:t xml:space="preserve">not expected </w:t>
      </w:r>
      <w:r w:rsidR="00276BB3">
        <w:rPr>
          <w:rFonts w:cs="Arial"/>
        </w:rPr>
        <w:t>to have an</w:t>
      </w:r>
      <w:r w:rsidR="00AB68CF">
        <w:rPr>
          <w:rFonts w:cs="Arial"/>
        </w:rPr>
        <w:t>y</w:t>
      </w:r>
      <w:r w:rsidR="00276BB3">
        <w:rPr>
          <w:rFonts w:cs="Arial"/>
        </w:rPr>
        <w:t xml:space="preserve"> adverse </w:t>
      </w:r>
      <w:r>
        <w:rPr>
          <w:rFonts w:cs="Arial"/>
        </w:rPr>
        <w:t xml:space="preserve">effect on international trade as </w:t>
      </w:r>
      <w:r w:rsidR="0097212F">
        <w:rPr>
          <w:rFonts w:cs="Arial"/>
        </w:rPr>
        <w:t>the requested limit is already permitted in other countries, including Canada and Japan</w:t>
      </w:r>
      <w:r w:rsidR="00F8589E">
        <w:rPr>
          <w:rFonts w:cs="Arial"/>
          <w:color w:val="FF0000"/>
        </w:rPr>
        <w:t xml:space="preserve"> </w:t>
      </w:r>
      <w:r w:rsidR="00F8589E" w:rsidRPr="00F8589E">
        <w:rPr>
          <w:rFonts w:cs="Arial"/>
        </w:rPr>
        <w:t>and in the Codex General Standard for Food Additives</w:t>
      </w:r>
      <w:r w:rsidRPr="00F8589E">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F8589E">
        <w:rPr>
          <w:rFonts w:cs="Arial"/>
        </w:rPr>
        <w:t>and New Zealand’s</w:t>
      </w:r>
      <w:r w:rsidRPr="00F8589E">
        <w:rPr>
          <w:rFonts w:cs="Arial"/>
          <w:iCs/>
        </w:rPr>
        <w:t xml:space="preserve"> obligations </w:t>
      </w:r>
      <w:r w:rsidRPr="0024582E">
        <w:rPr>
          <w:rFonts w:cs="Arial"/>
          <w:iCs/>
        </w:rPr>
        <w:t xml:space="preserve">under the WTO </w:t>
      </w:r>
      <w:r w:rsidRPr="00F8589E">
        <w:rPr>
          <w:rFonts w:cs="Arial"/>
          <w:iCs/>
        </w:rPr>
        <w:t xml:space="preserve">Technical Barriers to Trade </w:t>
      </w:r>
      <w:r>
        <w:rPr>
          <w:rFonts w:cs="Arial"/>
          <w:iCs/>
        </w:rPr>
        <w:t>Agreement</w:t>
      </w:r>
      <w:r w:rsidRPr="0024582E">
        <w:rPr>
          <w:rFonts w:cs="Arial"/>
          <w:iCs/>
        </w:rPr>
        <w:t xml:space="preserve"> was not considered necessary.</w:t>
      </w:r>
    </w:p>
    <w:p w14:paraId="658A8456" w14:textId="370B424D" w:rsidR="00E520FE" w:rsidRDefault="00E520FE" w:rsidP="00DD3C5E"/>
    <w:p w14:paraId="658A8457" w14:textId="376B71AF" w:rsidR="005F7342" w:rsidRPr="00932F14" w:rsidRDefault="00867B23" w:rsidP="00E203C2">
      <w:pPr>
        <w:pStyle w:val="Heading1"/>
      </w:pPr>
      <w:bookmarkStart w:id="67" w:name="_Toc286391014"/>
      <w:bookmarkStart w:id="68" w:name="_Toc175381455"/>
      <w:bookmarkStart w:id="69" w:name="_Toc300933445"/>
      <w:bookmarkStart w:id="70" w:name="_Toc427676513"/>
      <w:bookmarkEnd w:id="27"/>
      <w:bookmarkEnd w:id="28"/>
      <w:bookmarkEnd w:id="29"/>
      <w:bookmarkEnd w:id="30"/>
      <w:bookmarkEnd w:id="31"/>
      <w:bookmarkEnd w:id="32"/>
      <w:bookmarkEnd w:id="48"/>
      <w:r>
        <w:t>3</w:t>
      </w:r>
      <w:r w:rsidR="00F604DE">
        <w:tab/>
      </w:r>
      <w:bookmarkEnd w:id="67"/>
      <w:bookmarkEnd w:id="68"/>
      <w:bookmarkEnd w:id="69"/>
      <w:r w:rsidR="00D14405">
        <w:t xml:space="preserve">Draft </w:t>
      </w:r>
      <w:r w:rsidR="00D14405" w:rsidRPr="00590C86">
        <w:rPr>
          <w:rFonts w:ascii="Arial Bold" w:hAnsi="Arial Bold"/>
        </w:rPr>
        <w:t>variation</w:t>
      </w:r>
      <w:bookmarkEnd w:id="70"/>
    </w:p>
    <w:p w14:paraId="2FE5FD4C" w14:textId="2ACA7A8E" w:rsidR="000C2F12" w:rsidRDefault="000C2F12" w:rsidP="000C2F12">
      <w:r>
        <w:t xml:space="preserve">On the basis of no public health and safety issues being identified, </w:t>
      </w:r>
      <w:r w:rsidR="00F42924">
        <w:t>and a demonstrated technological ne</w:t>
      </w:r>
      <w:r w:rsidR="00FD4086">
        <w:t>ed to increase the MPL for Ace K</w:t>
      </w:r>
      <w:r w:rsidR="00F42924">
        <w:t xml:space="preserve"> to 5,000 mg/kg, </w:t>
      </w:r>
      <w:r>
        <w:t xml:space="preserve">FSANZ has prepared a draft variation to permit the increase in the MPL for acesulphame potassium in chewing gum to 5000 mg/kg. </w:t>
      </w:r>
    </w:p>
    <w:p w14:paraId="476AC721" w14:textId="77777777" w:rsidR="000C2F12" w:rsidRDefault="000C2F12" w:rsidP="00DF0506"/>
    <w:p w14:paraId="765485A8" w14:textId="77777777" w:rsidR="00DF0506" w:rsidRPr="00DF0506" w:rsidRDefault="00DF0506" w:rsidP="00DF0506">
      <w:r w:rsidRPr="00DF0506">
        <w:t>The draft variation to the revised Code is at Attachment A and the related draft explanatory statement is at Attachment B. The variation is intended to take effect on 1 March 2016.</w:t>
      </w:r>
    </w:p>
    <w:p w14:paraId="2398861A" w14:textId="77777777" w:rsidR="00DF0506" w:rsidRPr="00DF0506" w:rsidRDefault="00DF0506" w:rsidP="00DF0506"/>
    <w:p w14:paraId="2D5D67E4" w14:textId="77777777" w:rsidR="00DF0506" w:rsidRPr="00DF0506" w:rsidRDefault="00DF0506" w:rsidP="00DF0506">
      <w:pPr>
        <w:rPr>
          <w:u w:val="single"/>
        </w:rPr>
      </w:pPr>
      <w:r w:rsidRPr="00DF0506">
        <w:t xml:space="preserve">An explanatory statement is required to accompany an instrument if it is lodged on the Federal Register of Legislative Instruments (FRLI). </w:t>
      </w:r>
    </w:p>
    <w:p w14:paraId="658A845A" w14:textId="452C490E" w:rsidR="00A12B44" w:rsidRPr="00D26814" w:rsidRDefault="00A12B44" w:rsidP="00A12B44">
      <w:pPr>
        <w:rPr>
          <w:u w:val="single"/>
        </w:rPr>
      </w:pPr>
    </w:p>
    <w:p w14:paraId="658A8464" w14:textId="77777777" w:rsidR="00924C80" w:rsidRPr="007E64BD" w:rsidRDefault="00867B23" w:rsidP="00E75054">
      <w:pPr>
        <w:pStyle w:val="Heading1"/>
      </w:pPr>
      <w:bookmarkStart w:id="71" w:name="_Toc300933452"/>
      <w:bookmarkStart w:id="72" w:name="_Toc427676514"/>
      <w:bookmarkStart w:id="73" w:name="_Toc11735643"/>
      <w:bookmarkStart w:id="74" w:name="_Toc29883130"/>
      <w:bookmarkStart w:id="75" w:name="_Toc41906817"/>
      <w:bookmarkStart w:id="76" w:name="_Toc41907564"/>
      <w:bookmarkStart w:id="77" w:name="_Toc43112360"/>
      <w:r w:rsidRPr="007E64BD">
        <w:t>4</w:t>
      </w:r>
      <w:r w:rsidR="00924C80" w:rsidRPr="007E64BD">
        <w:tab/>
        <w:t>R</w:t>
      </w:r>
      <w:bookmarkEnd w:id="71"/>
      <w:r w:rsidR="006C28E2" w:rsidRPr="007E64BD">
        <w:t>eferences</w:t>
      </w:r>
      <w:bookmarkEnd w:id="72"/>
    </w:p>
    <w:bookmarkEnd w:id="73"/>
    <w:bookmarkEnd w:id="74"/>
    <w:bookmarkEnd w:id="75"/>
    <w:bookmarkEnd w:id="76"/>
    <w:bookmarkEnd w:id="77"/>
    <w:p w14:paraId="5DA3C38A" w14:textId="17019243" w:rsidR="00841BBD" w:rsidRPr="00841BBD" w:rsidRDefault="00841BBD" w:rsidP="00841BBD">
      <w:pPr>
        <w:rPr>
          <w:sz w:val="20"/>
          <w:szCs w:val="20"/>
        </w:rPr>
      </w:pPr>
      <w:r w:rsidRPr="00841BBD">
        <w:rPr>
          <w:sz w:val="20"/>
          <w:szCs w:val="20"/>
        </w:rPr>
        <w:t xml:space="preserve">Codex Alimentarius (2014) General Standard for Food Additives, CODEX STAN 192-1995 (Revision 2014), </w:t>
      </w:r>
      <w:r w:rsidR="00987D3C">
        <w:rPr>
          <w:sz w:val="20"/>
          <w:szCs w:val="20"/>
        </w:rPr>
        <w:t>Acesulphame Potassium, food category number 05.3 Chewing gum Table one, page 67.</w:t>
      </w:r>
      <w:r w:rsidRPr="00841BBD">
        <w:rPr>
          <w:sz w:val="20"/>
          <w:szCs w:val="20"/>
        </w:rPr>
        <w:t xml:space="preserve"> </w:t>
      </w:r>
      <w:r w:rsidR="00345907" w:rsidRPr="006A2684">
        <w:t xml:space="preserve"> </w:t>
      </w:r>
      <w:hyperlink r:id="rId25" w:history="1">
        <w:r w:rsidR="00345907" w:rsidRPr="00345907">
          <w:rPr>
            <w:rStyle w:val="Hyperlink"/>
            <w:bCs/>
            <w:sz w:val="20"/>
            <w:szCs w:val="20"/>
          </w:rPr>
          <w:t>http://www.codexalimentarius.net/gsfaonline/docs/CXS_192e.pdf</w:t>
        </w:r>
      </w:hyperlink>
      <w:r w:rsidR="00345907">
        <w:rPr>
          <w:rStyle w:val="Hyperlink"/>
          <w:bCs/>
          <w:sz w:val="20"/>
          <w:szCs w:val="20"/>
        </w:rPr>
        <w:t xml:space="preserve"> </w:t>
      </w:r>
      <w:r w:rsidRPr="00841BBD">
        <w:rPr>
          <w:color w:val="3333FF"/>
          <w:sz w:val="20"/>
          <w:szCs w:val="20"/>
        </w:rPr>
        <w:t xml:space="preserve"> </w:t>
      </w:r>
      <w:r w:rsidRPr="00841BBD">
        <w:rPr>
          <w:sz w:val="20"/>
          <w:szCs w:val="20"/>
        </w:rPr>
        <w:t xml:space="preserve">Accessed on </w:t>
      </w:r>
      <w:r w:rsidR="00987D3C">
        <w:rPr>
          <w:sz w:val="20"/>
          <w:szCs w:val="20"/>
        </w:rPr>
        <w:t xml:space="preserve">17 July </w:t>
      </w:r>
      <w:r w:rsidRPr="00841BBD">
        <w:rPr>
          <w:sz w:val="20"/>
          <w:szCs w:val="20"/>
        </w:rPr>
        <w:t>2015</w:t>
      </w:r>
    </w:p>
    <w:p w14:paraId="6E917380" w14:textId="77777777" w:rsidR="00841BBD" w:rsidRPr="00841BBD" w:rsidRDefault="00841BBD" w:rsidP="00841BBD">
      <w:pPr>
        <w:rPr>
          <w:sz w:val="20"/>
          <w:szCs w:val="20"/>
        </w:rPr>
      </w:pPr>
    </w:p>
    <w:p w14:paraId="3D8047CB" w14:textId="52953A17" w:rsidR="000A5E83" w:rsidRDefault="000A5E83" w:rsidP="00841BBD">
      <w:r>
        <w:rPr>
          <w:sz w:val="20"/>
          <w:szCs w:val="20"/>
        </w:rPr>
        <w:t>European Commission (2011</w:t>
      </w:r>
      <w:r w:rsidR="00841BBD" w:rsidRPr="00841BBD">
        <w:rPr>
          <w:sz w:val="20"/>
          <w:szCs w:val="20"/>
        </w:rPr>
        <w:t xml:space="preserve">) Commission Regulations (EU) No </w:t>
      </w:r>
      <w:r>
        <w:rPr>
          <w:sz w:val="20"/>
          <w:szCs w:val="20"/>
        </w:rPr>
        <w:t xml:space="preserve">1129/2011 </w:t>
      </w:r>
      <w:r w:rsidR="00841BBD" w:rsidRPr="00841BBD">
        <w:rPr>
          <w:sz w:val="20"/>
          <w:szCs w:val="20"/>
        </w:rPr>
        <w:t xml:space="preserve">of </w:t>
      </w:r>
      <w:r>
        <w:rPr>
          <w:sz w:val="20"/>
          <w:szCs w:val="20"/>
        </w:rPr>
        <w:t>11 November</w:t>
      </w:r>
      <w:r w:rsidR="00841BBD" w:rsidRPr="00841BBD">
        <w:rPr>
          <w:sz w:val="20"/>
          <w:szCs w:val="20"/>
        </w:rPr>
        <w:t xml:space="preserve"> 201</w:t>
      </w:r>
      <w:r>
        <w:rPr>
          <w:sz w:val="20"/>
          <w:szCs w:val="20"/>
        </w:rPr>
        <w:t>1</w:t>
      </w:r>
      <w:r w:rsidR="00841BBD" w:rsidRPr="00841BBD">
        <w:rPr>
          <w:sz w:val="20"/>
          <w:szCs w:val="20"/>
        </w:rPr>
        <w:t xml:space="preserve"> </w:t>
      </w:r>
      <w:r>
        <w:rPr>
          <w:sz w:val="20"/>
          <w:szCs w:val="20"/>
        </w:rPr>
        <w:t xml:space="preserve">amending Annex II to Regulation (EC) No 1333/2008 </w:t>
      </w:r>
      <w:r w:rsidR="00841BBD" w:rsidRPr="00841BBD">
        <w:rPr>
          <w:sz w:val="20"/>
          <w:szCs w:val="20"/>
        </w:rPr>
        <w:t>of the Europea</w:t>
      </w:r>
      <w:r>
        <w:rPr>
          <w:sz w:val="20"/>
          <w:szCs w:val="20"/>
        </w:rPr>
        <w:t>n Parliament and of the Council by establishing a Union list of food additives.</w:t>
      </w:r>
      <w:r w:rsidR="00CB7606">
        <w:rPr>
          <w:sz w:val="20"/>
          <w:szCs w:val="20"/>
        </w:rPr>
        <w:t xml:space="preserve"> Part E, Authorised food categories and conditions of use in food categories </w:t>
      </w:r>
      <w:r>
        <w:rPr>
          <w:sz w:val="20"/>
          <w:szCs w:val="20"/>
        </w:rPr>
        <w:t xml:space="preserve"> </w:t>
      </w:r>
      <w:r w:rsidR="00CB7606">
        <w:rPr>
          <w:sz w:val="20"/>
          <w:szCs w:val="20"/>
        </w:rPr>
        <w:t xml:space="preserve">Category number 05.3, Chewing gum Page 81 </w:t>
      </w:r>
      <w:r w:rsidR="00841BBD" w:rsidRPr="00841BBD">
        <w:t xml:space="preserve"> </w:t>
      </w:r>
      <w:hyperlink r:id="rId26" w:history="1">
        <w:r w:rsidRPr="004675A4">
          <w:rPr>
            <w:rStyle w:val="Hyperlink"/>
          </w:rPr>
          <w:t>http://eur-lex.europa.eu/LexUriServ/LexUriServ.do?uri=OJ:L:2011:295:0001:0177:En:PDF</w:t>
        </w:r>
      </w:hyperlink>
    </w:p>
    <w:p w14:paraId="2DFF8A17" w14:textId="25A7CD3B" w:rsidR="00841BBD" w:rsidRPr="00841BBD" w:rsidRDefault="00841BBD" w:rsidP="00841BBD">
      <w:pPr>
        <w:rPr>
          <w:sz w:val="20"/>
          <w:szCs w:val="20"/>
        </w:rPr>
      </w:pPr>
      <w:r w:rsidRPr="00841BBD">
        <w:rPr>
          <w:sz w:val="20"/>
          <w:szCs w:val="20"/>
        </w:rPr>
        <w:t xml:space="preserve">Accessed on </w:t>
      </w:r>
      <w:r w:rsidR="000A5E83">
        <w:rPr>
          <w:sz w:val="20"/>
          <w:szCs w:val="20"/>
        </w:rPr>
        <w:t xml:space="preserve">17 </w:t>
      </w:r>
      <w:r w:rsidR="00987D3C">
        <w:rPr>
          <w:sz w:val="20"/>
          <w:szCs w:val="20"/>
        </w:rPr>
        <w:t xml:space="preserve">July </w:t>
      </w:r>
      <w:r w:rsidR="00987D3C" w:rsidRPr="00841BBD">
        <w:rPr>
          <w:sz w:val="20"/>
          <w:szCs w:val="20"/>
        </w:rPr>
        <w:t>2015</w:t>
      </w:r>
    </w:p>
    <w:p w14:paraId="3F6159E4" w14:textId="77777777" w:rsidR="00841BBD" w:rsidRPr="00841BBD" w:rsidRDefault="00841BBD" w:rsidP="00841BBD">
      <w:pPr>
        <w:rPr>
          <w:sz w:val="20"/>
          <w:szCs w:val="20"/>
        </w:rPr>
      </w:pPr>
    </w:p>
    <w:p w14:paraId="7DA0F404" w14:textId="77777777" w:rsidR="00950484" w:rsidRPr="00950484" w:rsidRDefault="00841BBD" w:rsidP="00950484">
      <w:pPr>
        <w:rPr>
          <w:sz w:val="20"/>
          <w:szCs w:val="20"/>
        </w:rPr>
      </w:pPr>
      <w:r w:rsidRPr="00950484">
        <w:rPr>
          <w:sz w:val="20"/>
          <w:szCs w:val="20"/>
        </w:rPr>
        <w:t>Health Canada (201</w:t>
      </w:r>
      <w:r w:rsidR="004C6EC0" w:rsidRPr="00950484">
        <w:rPr>
          <w:sz w:val="20"/>
          <w:szCs w:val="20"/>
        </w:rPr>
        <w:t>3</w:t>
      </w:r>
      <w:r w:rsidRPr="00950484">
        <w:rPr>
          <w:sz w:val="20"/>
          <w:szCs w:val="20"/>
        </w:rPr>
        <w:t>) Notice of Modification to the Lists of Permitted</w:t>
      </w:r>
      <w:r w:rsidR="004C6EC0" w:rsidRPr="00950484">
        <w:rPr>
          <w:sz w:val="20"/>
          <w:szCs w:val="20"/>
        </w:rPr>
        <w:t xml:space="preserve"> Sweeteners to increase the Permitted Maximum Levels of the Use for Acesulfame Potassium in Chewing Gum and for Sucralose in Chewing gum and Breath Freshener Products Regulated as </w:t>
      </w:r>
      <w:r w:rsidRPr="00950484">
        <w:rPr>
          <w:sz w:val="20"/>
          <w:szCs w:val="20"/>
        </w:rPr>
        <w:t xml:space="preserve"> Food</w:t>
      </w:r>
      <w:r w:rsidR="004C6EC0" w:rsidRPr="00950484">
        <w:rPr>
          <w:sz w:val="20"/>
          <w:szCs w:val="20"/>
        </w:rPr>
        <w:t xml:space="preserve">. </w:t>
      </w:r>
      <w:r w:rsidRPr="00950484">
        <w:rPr>
          <w:sz w:val="20"/>
          <w:szCs w:val="20"/>
        </w:rPr>
        <w:t xml:space="preserve">Ottawa (ON): Health Canada, Bureau of Chemical Safety, Food Directorate, Health Products and Food Branch. </w:t>
      </w:r>
    </w:p>
    <w:p w14:paraId="5E988BA0" w14:textId="416353A9" w:rsidR="00841BBD" w:rsidRDefault="00910A30" w:rsidP="00841BBD">
      <w:pPr>
        <w:rPr>
          <w:rStyle w:val="Hyperlink"/>
          <w:sz w:val="20"/>
          <w:szCs w:val="20"/>
        </w:rPr>
      </w:pPr>
      <w:hyperlink r:id="rId27" w:history="1">
        <w:r w:rsidR="00950484" w:rsidRPr="004675A4">
          <w:rPr>
            <w:rStyle w:val="Hyperlink"/>
            <w:sz w:val="20"/>
            <w:szCs w:val="20"/>
          </w:rPr>
          <w:t>http://www.hc-sc.gc.ca/fn-an/consult/nom-adm-0006/document-consultation-eng.php</w:t>
        </w:r>
      </w:hyperlink>
    </w:p>
    <w:p w14:paraId="70AE93BE" w14:textId="77777777" w:rsidR="001270CE" w:rsidRDefault="001270CE" w:rsidP="00841BBD">
      <w:pPr>
        <w:rPr>
          <w:sz w:val="20"/>
          <w:szCs w:val="20"/>
        </w:rPr>
      </w:pPr>
    </w:p>
    <w:p w14:paraId="1D316699" w14:textId="385A0E18" w:rsidR="00910A30" w:rsidRDefault="00841BBD" w:rsidP="00841BBD">
      <w:pPr>
        <w:rPr>
          <w:sz w:val="20"/>
          <w:szCs w:val="20"/>
        </w:rPr>
      </w:pPr>
      <w:r w:rsidRPr="00841BBD">
        <w:rPr>
          <w:sz w:val="20"/>
          <w:szCs w:val="20"/>
        </w:rPr>
        <w:t xml:space="preserve">List of Permitted Sweeteners (current version, issued date 24 April 2014) </w:t>
      </w:r>
      <w:hyperlink r:id="rId28" w:history="1">
        <w:r w:rsidRPr="00841BBD">
          <w:rPr>
            <w:color w:val="3333FF"/>
            <w:sz w:val="20"/>
            <w:szCs w:val="20"/>
            <w:u w:val="single"/>
          </w:rPr>
          <w:t>http://www.hc-sc.gc.ca/fn-an/securit/addit/list/9-sweetener-edulcorant-eng.php</w:t>
        </w:r>
      </w:hyperlink>
      <w:r w:rsidRPr="00841BBD">
        <w:rPr>
          <w:color w:val="3333FF"/>
          <w:sz w:val="20"/>
          <w:szCs w:val="20"/>
        </w:rPr>
        <w:t xml:space="preserve"> </w:t>
      </w:r>
      <w:r w:rsidR="00950484">
        <w:rPr>
          <w:sz w:val="20"/>
          <w:szCs w:val="20"/>
        </w:rPr>
        <w:t xml:space="preserve">Both accessed on 17 July </w:t>
      </w:r>
      <w:r w:rsidRPr="00841BBD">
        <w:rPr>
          <w:sz w:val="20"/>
          <w:szCs w:val="20"/>
        </w:rPr>
        <w:t>2015</w:t>
      </w:r>
      <w:r w:rsidR="00910A30">
        <w:rPr>
          <w:sz w:val="20"/>
          <w:szCs w:val="20"/>
        </w:rPr>
        <w:br w:type="page"/>
      </w:r>
    </w:p>
    <w:p w14:paraId="02AB35F2" w14:textId="14040EA3" w:rsidR="003E362A" w:rsidRDefault="00CC068A" w:rsidP="00B2030B">
      <w:pPr>
        <w:rPr>
          <w:sz w:val="20"/>
          <w:szCs w:val="20"/>
        </w:rPr>
      </w:pPr>
      <w:r w:rsidRPr="00CC068A">
        <w:rPr>
          <w:rStyle w:val="FSBulletChar"/>
          <w:sz w:val="20"/>
          <w:szCs w:val="20"/>
        </w:rPr>
        <w:lastRenderedPageBreak/>
        <w:t>Japan’s</w:t>
      </w:r>
      <w:r w:rsidRPr="00CC068A">
        <w:rPr>
          <w:sz w:val="20"/>
          <w:szCs w:val="20"/>
        </w:rPr>
        <w:t xml:space="preserve"> Food Sanitation Act,(2015),  Enforcement Regulations, Article 12, permit the use of Ace K in chewing gum up to a MPL of 5000 mg/kg.  </w:t>
      </w:r>
      <w:r w:rsidR="003E362A">
        <w:rPr>
          <w:sz w:val="20"/>
          <w:szCs w:val="20"/>
        </w:rPr>
        <w:t>Page 13, non-nutritive Sweeteners at</w:t>
      </w:r>
    </w:p>
    <w:p w14:paraId="1459E0B1" w14:textId="10C8BB7A" w:rsidR="00CC068A" w:rsidRPr="00CC068A" w:rsidRDefault="00910A30" w:rsidP="00CC068A">
      <w:pPr>
        <w:pStyle w:val="FSBullet"/>
        <w:numPr>
          <w:ilvl w:val="0"/>
          <w:numId w:val="0"/>
        </w:numPr>
        <w:rPr>
          <w:sz w:val="20"/>
          <w:szCs w:val="20"/>
        </w:rPr>
      </w:pPr>
      <w:hyperlink r:id="rId29" w:history="1">
        <w:r w:rsidR="00CC068A" w:rsidRPr="003E362A">
          <w:rPr>
            <w:rStyle w:val="Hyperlink"/>
            <w:sz w:val="20"/>
            <w:szCs w:val="20"/>
          </w:rPr>
          <w:t>http://www.ffcr.or.jp/zaidan/FFCRHOME.nsf/7bd44c20b0dc562649256502001b65e9/8a4352b95978b195492569990007fbaa/$FILE/Standards%20for%20Use%2015May%2019.pdf</w:t>
        </w:r>
      </w:hyperlink>
      <w:r w:rsidR="003E362A">
        <w:rPr>
          <w:rStyle w:val="Hyperlink"/>
          <w:sz w:val="20"/>
          <w:szCs w:val="20"/>
        </w:rPr>
        <w:t xml:space="preserve"> </w:t>
      </w:r>
      <w:r w:rsidR="003E362A">
        <w:rPr>
          <w:rStyle w:val="Hyperlink"/>
          <w:color w:val="auto"/>
          <w:sz w:val="20"/>
          <w:szCs w:val="20"/>
          <w:u w:val="none"/>
        </w:rPr>
        <w:t>Accessed 20 July 2015</w:t>
      </w:r>
    </w:p>
    <w:p w14:paraId="27B2E076" w14:textId="77777777" w:rsidR="00CC068A" w:rsidRDefault="00CC068A" w:rsidP="00C85636">
      <w:pPr>
        <w:rPr>
          <w:sz w:val="20"/>
          <w:szCs w:val="20"/>
        </w:rPr>
      </w:pPr>
    </w:p>
    <w:p w14:paraId="4403A88A" w14:textId="5E71DBCE" w:rsidR="00C85636" w:rsidRPr="00C85636" w:rsidRDefault="00E12F8A" w:rsidP="00C85636">
      <w:pPr>
        <w:rPr>
          <w:rStyle w:val="Hyperlink"/>
          <w:b/>
          <w:bCs/>
          <w:sz w:val="20"/>
          <w:szCs w:val="20"/>
        </w:rPr>
      </w:pPr>
      <w:r>
        <w:rPr>
          <w:sz w:val="20"/>
          <w:szCs w:val="20"/>
        </w:rPr>
        <w:t xml:space="preserve">US FDA (2014) </w:t>
      </w:r>
      <w:r w:rsidR="00C85636" w:rsidRPr="00C85636">
        <w:rPr>
          <w:sz w:val="20"/>
          <w:szCs w:val="20"/>
        </w:rPr>
        <w:t>Code of Federal Regulations Chapter 21, CFR 172.800</w:t>
      </w:r>
      <w:r>
        <w:rPr>
          <w:sz w:val="20"/>
          <w:szCs w:val="20"/>
        </w:rPr>
        <w:t xml:space="preserve">, Subchapter B, Food for Human Consumption (continued), Part 172, Sec 172.800 Acesulfame Potassium.  </w:t>
      </w:r>
      <w:r w:rsidR="00C85636" w:rsidRPr="00C85636">
        <w:rPr>
          <w:sz w:val="20"/>
          <w:szCs w:val="20"/>
        </w:rPr>
        <w:t xml:space="preserve">  </w:t>
      </w:r>
      <w:hyperlink r:id="rId30" w:history="1">
        <w:r w:rsidRPr="004675A4">
          <w:rPr>
            <w:rStyle w:val="Hyperlink"/>
            <w:bCs/>
            <w:sz w:val="20"/>
            <w:szCs w:val="20"/>
          </w:rPr>
          <w:t>http://www.accessdata.fda.gov/scripts/cdrh/cfdocs/cfcfr/cfrsearch.cfm?fr=172.800</w:t>
        </w:r>
      </w:hyperlink>
      <w:r w:rsidR="00C85636">
        <w:rPr>
          <w:rStyle w:val="Hyperlink"/>
          <w:bCs/>
          <w:sz w:val="20"/>
          <w:szCs w:val="20"/>
        </w:rPr>
        <w:t xml:space="preserve"> </w:t>
      </w:r>
    </w:p>
    <w:p w14:paraId="507DA129" w14:textId="0282C452" w:rsidR="00841BBD" w:rsidRDefault="00C85636" w:rsidP="00841BBD">
      <w:pPr>
        <w:widowControl/>
        <w:rPr>
          <w:sz w:val="20"/>
          <w:szCs w:val="20"/>
        </w:rPr>
      </w:pPr>
      <w:r>
        <w:rPr>
          <w:sz w:val="20"/>
          <w:szCs w:val="20"/>
        </w:rPr>
        <w:t>Accessed on 17 July 2015</w:t>
      </w:r>
    </w:p>
    <w:p w14:paraId="3BE7BBF3" w14:textId="77777777" w:rsidR="00DF0506" w:rsidRPr="00DF0506" w:rsidRDefault="00DF0506" w:rsidP="00DF0506">
      <w:pPr>
        <w:spacing w:before="240"/>
        <w:rPr>
          <w:b/>
          <w:sz w:val="28"/>
          <w:szCs w:val="28"/>
        </w:rPr>
      </w:pPr>
      <w:r w:rsidRPr="00DF0506">
        <w:rPr>
          <w:b/>
          <w:sz w:val="28"/>
          <w:szCs w:val="28"/>
        </w:rPr>
        <w:t>Attachments</w:t>
      </w:r>
    </w:p>
    <w:p w14:paraId="44222BEC" w14:textId="77777777" w:rsidR="00DF0506" w:rsidRPr="00DF0506" w:rsidRDefault="00DF0506" w:rsidP="00DF0506"/>
    <w:p w14:paraId="6DFBE3FC" w14:textId="3F6CE3E3" w:rsidR="00DF0506" w:rsidRPr="00DF0506" w:rsidRDefault="00DF0506" w:rsidP="00DF0506">
      <w:pPr>
        <w:ind w:left="567" w:hanging="567"/>
      </w:pPr>
      <w:r w:rsidRPr="00DF0506">
        <w:t>A.</w:t>
      </w:r>
      <w:r w:rsidRPr="00DF0506">
        <w:tab/>
        <w:t xml:space="preserve">Draft variation to the revised </w:t>
      </w:r>
      <w:r w:rsidRPr="00DF0506">
        <w:rPr>
          <w:i/>
        </w:rPr>
        <w:t xml:space="preserve">Australia New Zealand Food Standards Code </w:t>
      </w:r>
      <w:r w:rsidRPr="00DF0506">
        <w:t>(commencing 1 March 2016)</w:t>
      </w:r>
    </w:p>
    <w:p w14:paraId="73661FEC" w14:textId="77777777" w:rsidR="00DF0506" w:rsidRPr="00DF0506" w:rsidRDefault="00DF0506" w:rsidP="00DF0506">
      <w:pPr>
        <w:ind w:left="567" w:hanging="567"/>
      </w:pPr>
      <w:r w:rsidRPr="00DF0506">
        <w:t>B.</w:t>
      </w:r>
      <w:r w:rsidRPr="00DF0506">
        <w:tab/>
        <w:t>Draft Explanatory Statement</w:t>
      </w:r>
    </w:p>
    <w:p w14:paraId="658A8469" w14:textId="7318850D" w:rsidR="00AB0275" w:rsidRDefault="00AB0275" w:rsidP="00AB0275">
      <w:pPr>
        <w:ind w:left="567" w:hanging="567"/>
      </w:pPr>
    </w:p>
    <w:p w14:paraId="658A846A" w14:textId="77777777" w:rsidR="00D60568" w:rsidRPr="00E203C2" w:rsidRDefault="00D60568" w:rsidP="002432EE"/>
    <w:p w14:paraId="00F407E9" w14:textId="685B595D" w:rsidR="002B4636" w:rsidRPr="00456BD5" w:rsidRDefault="00AB0275" w:rsidP="002B4636">
      <w:pPr>
        <w:pStyle w:val="Heading2"/>
        <w:ind w:left="0" w:firstLine="0"/>
      </w:pPr>
      <w:bookmarkStart w:id="78" w:name="_Toc300933454"/>
      <w:r w:rsidRPr="00932F14">
        <w:br w:type="page"/>
      </w:r>
      <w:bookmarkStart w:id="79" w:name="_Toc29883131"/>
      <w:bookmarkStart w:id="80" w:name="_Toc41906818"/>
      <w:bookmarkStart w:id="81" w:name="_Toc41907565"/>
      <w:bookmarkStart w:id="82" w:name="_Toc120358596"/>
      <w:bookmarkStart w:id="83" w:name="_Toc175381458"/>
      <w:bookmarkStart w:id="84" w:name="_Toc11735644"/>
      <w:bookmarkStart w:id="85" w:name="_Toc415572037"/>
      <w:bookmarkStart w:id="86" w:name="_Toc427676515"/>
      <w:r w:rsidRPr="00932F14">
        <w:lastRenderedPageBreak/>
        <w:t xml:space="preserve">Attachment </w:t>
      </w:r>
      <w:bookmarkEnd w:id="79"/>
      <w:bookmarkEnd w:id="80"/>
      <w:bookmarkEnd w:id="81"/>
      <w:bookmarkEnd w:id="82"/>
      <w:bookmarkEnd w:id="83"/>
      <w:r>
        <w:t>A</w:t>
      </w:r>
      <w:bookmarkStart w:id="87" w:name="_Toc120358597"/>
      <w:bookmarkStart w:id="88" w:name="_Toc175381459"/>
      <w:bookmarkEnd w:id="84"/>
      <w:r>
        <w:t xml:space="preserve"> – </w:t>
      </w:r>
      <w:bookmarkStart w:id="89" w:name="_Toc415572039"/>
      <w:bookmarkEnd w:id="85"/>
      <w:bookmarkEnd w:id="87"/>
      <w:bookmarkEnd w:id="88"/>
      <w:r w:rsidR="004E791C">
        <w:t>D</w:t>
      </w:r>
      <w:r w:rsidR="002B4636">
        <w:t xml:space="preserve">raft </w:t>
      </w:r>
      <w:r w:rsidR="002B4636" w:rsidRPr="00932F14">
        <w:t>variation to the</w:t>
      </w:r>
      <w:r w:rsidR="002B4636" w:rsidRPr="00755F02">
        <w:t xml:space="preserve"> </w:t>
      </w:r>
      <w:r w:rsidR="002B4636">
        <w:t xml:space="preserve">revised </w:t>
      </w:r>
      <w:r w:rsidR="002B4636" w:rsidRPr="00795D86">
        <w:rPr>
          <w:i/>
        </w:rPr>
        <w:t>Australia New Zealand Food Standards Code</w:t>
      </w:r>
      <w:r w:rsidR="002B4636">
        <w:rPr>
          <w:i/>
        </w:rPr>
        <w:t xml:space="preserve"> </w:t>
      </w:r>
      <w:r w:rsidR="002B4636" w:rsidRPr="00456BD5">
        <w:t>(commencing 1 March 2016)</w:t>
      </w:r>
      <w:bookmarkEnd w:id="86"/>
      <w:bookmarkEnd w:id="89"/>
    </w:p>
    <w:p w14:paraId="1DD21EF2" w14:textId="6885D446" w:rsidR="005764E2" w:rsidRPr="005764E2" w:rsidRDefault="005764E2" w:rsidP="005764E2">
      <w:pPr>
        <w:tabs>
          <w:tab w:val="left" w:pos="851"/>
        </w:tabs>
        <w:rPr>
          <w:noProof/>
          <w:sz w:val="20"/>
          <w:szCs w:val="20"/>
          <w:lang w:val="en-AU" w:eastAsia="en-AU" w:bidi="ar-SA"/>
        </w:rPr>
      </w:pPr>
      <w:r w:rsidRPr="005764E2">
        <w:rPr>
          <w:noProof/>
          <w:sz w:val="20"/>
          <w:szCs w:val="20"/>
          <w:lang w:eastAsia="en-GB" w:bidi="ar-SA"/>
        </w:rPr>
        <w:drawing>
          <wp:inline distT="0" distB="0" distL="0" distR="0" wp14:anchorId="687C10FA" wp14:editId="7AA43902">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0F9F3DF" w14:textId="77777777" w:rsidR="005764E2" w:rsidRPr="005764E2" w:rsidRDefault="005764E2" w:rsidP="005764E2">
      <w:pPr>
        <w:pBdr>
          <w:bottom w:val="single" w:sz="4" w:space="1" w:color="auto"/>
        </w:pBdr>
        <w:tabs>
          <w:tab w:val="left" w:pos="851"/>
        </w:tabs>
        <w:rPr>
          <w:b/>
          <w:bCs/>
          <w:szCs w:val="20"/>
          <w:lang w:bidi="ar-SA"/>
        </w:rPr>
      </w:pPr>
    </w:p>
    <w:p w14:paraId="300D7034" w14:textId="77777777" w:rsidR="005764E2" w:rsidRPr="005764E2" w:rsidRDefault="005764E2" w:rsidP="005764E2">
      <w:pPr>
        <w:pBdr>
          <w:bottom w:val="single" w:sz="4" w:space="1" w:color="auto"/>
        </w:pBdr>
        <w:tabs>
          <w:tab w:val="left" w:pos="851"/>
        </w:tabs>
        <w:rPr>
          <w:b/>
          <w:sz w:val="20"/>
          <w:szCs w:val="20"/>
          <w:lang w:bidi="ar-SA"/>
        </w:rPr>
      </w:pPr>
      <w:r w:rsidRPr="005764E2">
        <w:rPr>
          <w:b/>
          <w:sz w:val="20"/>
          <w:szCs w:val="20"/>
          <w:lang w:bidi="ar-SA"/>
        </w:rPr>
        <w:t>Food Standards (Application A1100 – Maximum Permitted Level of Acesulphame Potassium in Chewing Gum) Variation</w:t>
      </w:r>
    </w:p>
    <w:p w14:paraId="0E964B97" w14:textId="77777777" w:rsidR="005764E2" w:rsidRPr="005764E2" w:rsidRDefault="005764E2" w:rsidP="005764E2">
      <w:pPr>
        <w:pBdr>
          <w:bottom w:val="single" w:sz="4" w:space="1" w:color="auto"/>
        </w:pBdr>
        <w:tabs>
          <w:tab w:val="left" w:pos="851"/>
        </w:tabs>
        <w:rPr>
          <w:b/>
          <w:sz w:val="20"/>
          <w:szCs w:val="20"/>
          <w:lang w:bidi="ar-SA"/>
        </w:rPr>
      </w:pPr>
    </w:p>
    <w:p w14:paraId="36DEAB62" w14:textId="77777777" w:rsidR="005764E2" w:rsidRPr="005764E2" w:rsidRDefault="005764E2" w:rsidP="005764E2">
      <w:pPr>
        <w:tabs>
          <w:tab w:val="left" w:pos="851"/>
        </w:tabs>
        <w:rPr>
          <w:sz w:val="20"/>
          <w:szCs w:val="20"/>
          <w:lang w:bidi="ar-SA"/>
        </w:rPr>
      </w:pPr>
    </w:p>
    <w:p w14:paraId="1761AC0A" w14:textId="77777777" w:rsidR="005764E2" w:rsidRPr="005764E2" w:rsidRDefault="005764E2" w:rsidP="005764E2">
      <w:pPr>
        <w:tabs>
          <w:tab w:val="left" w:pos="851"/>
        </w:tabs>
        <w:rPr>
          <w:sz w:val="20"/>
          <w:szCs w:val="20"/>
          <w:lang w:bidi="ar-SA"/>
        </w:rPr>
      </w:pPr>
      <w:r w:rsidRPr="005764E2">
        <w:rPr>
          <w:sz w:val="20"/>
          <w:szCs w:val="20"/>
          <w:lang w:bidi="ar-SA"/>
        </w:rPr>
        <w:t xml:space="preserve">The Board of Food Standards Australia New Zealand gives notice of the making of this variation under section 92 of the </w:t>
      </w:r>
      <w:r w:rsidRPr="005764E2">
        <w:rPr>
          <w:i/>
          <w:sz w:val="20"/>
          <w:szCs w:val="20"/>
          <w:lang w:bidi="ar-SA"/>
        </w:rPr>
        <w:t>Food Standards Australia New Zealand Act 1991</w:t>
      </w:r>
      <w:r w:rsidRPr="005764E2">
        <w:rPr>
          <w:sz w:val="20"/>
          <w:szCs w:val="20"/>
          <w:lang w:bidi="ar-SA"/>
        </w:rPr>
        <w:t>.  The Standard commences on the date specified in clause 3 of this variation.</w:t>
      </w:r>
    </w:p>
    <w:p w14:paraId="1911C285" w14:textId="77777777" w:rsidR="005764E2" w:rsidRPr="005764E2" w:rsidRDefault="005764E2" w:rsidP="005764E2">
      <w:pPr>
        <w:tabs>
          <w:tab w:val="left" w:pos="851"/>
        </w:tabs>
        <w:rPr>
          <w:sz w:val="20"/>
          <w:szCs w:val="20"/>
          <w:lang w:bidi="ar-SA"/>
        </w:rPr>
      </w:pPr>
    </w:p>
    <w:p w14:paraId="59601559" w14:textId="77777777" w:rsidR="005764E2" w:rsidRPr="005764E2" w:rsidRDefault="005764E2" w:rsidP="005764E2">
      <w:pPr>
        <w:tabs>
          <w:tab w:val="left" w:pos="851"/>
        </w:tabs>
        <w:rPr>
          <w:sz w:val="20"/>
          <w:szCs w:val="20"/>
          <w:lang w:bidi="ar-SA"/>
        </w:rPr>
      </w:pPr>
      <w:r w:rsidRPr="005764E2">
        <w:rPr>
          <w:sz w:val="20"/>
          <w:szCs w:val="20"/>
          <w:lang w:bidi="ar-SA"/>
        </w:rPr>
        <w:t>Dated [To be completed by Standards Management Officer]</w:t>
      </w:r>
    </w:p>
    <w:p w14:paraId="561FD78A" w14:textId="77777777" w:rsidR="005764E2" w:rsidRPr="005764E2" w:rsidRDefault="005764E2" w:rsidP="005764E2">
      <w:pPr>
        <w:tabs>
          <w:tab w:val="left" w:pos="851"/>
        </w:tabs>
        <w:rPr>
          <w:sz w:val="20"/>
          <w:szCs w:val="20"/>
          <w:lang w:bidi="ar-SA"/>
        </w:rPr>
      </w:pPr>
    </w:p>
    <w:p w14:paraId="1E9CABAA" w14:textId="77777777" w:rsidR="005764E2" w:rsidRPr="005764E2" w:rsidRDefault="005764E2" w:rsidP="005764E2">
      <w:pPr>
        <w:tabs>
          <w:tab w:val="left" w:pos="851"/>
        </w:tabs>
        <w:rPr>
          <w:sz w:val="20"/>
          <w:szCs w:val="20"/>
          <w:lang w:bidi="ar-SA"/>
        </w:rPr>
      </w:pPr>
    </w:p>
    <w:p w14:paraId="7B726D20" w14:textId="77777777" w:rsidR="005764E2" w:rsidRPr="005764E2" w:rsidRDefault="005764E2" w:rsidP="005764E2">
      <w:pPr>
        <w:tabs>
          <w:tab w:val="left" w:pos="851"/>
        </w:tabs>
        <w:rPr>
          <w:sz w:val="20"/>
          <w:szCs w:val="20"/>
          <w:lang w:bidi="ar-SA"/>
        </w:rPr>
      </w:pPr>
    </w:p>
    <w:p w14:paraId="6FD152B1" w14:textId="77777777" w:rsidR="005764E2" w:rsidRPr="005764E2" w:rsidRDefault="005764E2" w:rsidP="005764E2">
      <w:pPr>
        <w:tabs>
          <w:tab w:val="left" w:pos="851"/>
        </w:tabs>
        <w:rPr>
          <w:sz w:val="20"/>
          <w:szCs w:val="20"/>
          <w:lang w:bidi="ar-SA"/>
        </w:rPr>
      </w:pPr>
    </w:p>
    <w:p w14:paraId="4C5E4A0F" w14:textId="77777777" w:rsidR="005764E2" w:rsidRPr="005764E2" w:rsidRDefault="005764E2" w:rsidP="005764E2">
      <w:pPr>
        <w:tabs>
          <w:tab w:val="left" w:pos="851"/>
        </w:tabs>
        <w:rPr>
          <w:sz w:val="20"/>
          <w:szCs w:val="20"/>
          <w:lang w:bidi="ar-SA"/>
        </w:rPr>
      </w:pPr>
    </w:p>
    <w:p w14:paraId="584C01BB" w14:textId="77777777" w:rsidR="005764E2" w:rsidRPr="005764E2" w:rsidRDefault="005764E2" w:rsidP="005764E2">
      <w:pPr>
        <w:tabs>
          <w:tab w:val="left" w:pos="851"/>
        </w:tabs>
        <w:rPr>
          <w:sz w:val="20"/>
          <w:szCs w:val="20"/>
          <w:lang w:bidi="ar-SA"/>
        </w:rPr>
      </w:pPr>
      <w:r w:rsidRPr="005764E2">
        <w:rPr>
          <w:sz w:val="20"/>
          <w:szCs w:val="20"/>
          <w:lang w:bidi="ar-SA"/>
        </w:rPr>
        <w:t>Standards Management Officer</w:t>
      </w:r>
    </w:p>
    <w:p w14:paraId="76EB4C6E" w14:textId="77777777" w:rsidR="005764E2" w:rsidRPr="005764E2" w:rsidRDefault="005764E2" w:rsidP="005764E2">
      <w:pPr>
        <w:tabs>
          <w:tab w:val="left" w:pos="851"/>
        </w:tabs>
        <w:rPr>
          <w:sz w:val="20"/>
          <w:szCs w:val="20"/>
          <w:lang w:bidi="ar-SA"/>
        </w:rPr>
      </w:pPr>
      <w:r w:rsidRPr="005764E2">
        <w:rPr>
          <w:sz w:val="20"/>
          <w:szCs w:val="20"/>
          <w:lang w:bidi="ar-SA"/>
        </w:rPr>
        <w:t>Delegate of the Board of Food Standards Australia New Zealand</w:t>
      </w:r>
    </w:p>
    <w:p w14:paraId="3BE00E93" w14:textId="77777777" w:rsidR="005764E2" w:rsidRPr="005764E2" w:rsidRDefault="005764E2" w:rsidP="005764E2">
      <w:pPr>
        <w:tabs>
          <w:tab w:val="left" w:pos="851"/>
        </w:tabs>
        <w:rPr>
          <w:sz w:val="20"/>
          <w:szCs w:val="20"/>
          <w:lang w:bidi="ar-SA"/>
        </w:rPr>
      </w:pPr>
    </w:p>
    <w:p w14:paraId="1D9BE590" w14:textId="77777777" w:rsidR="005764E2" w:rsidRPr="005764E2" w:rsidRDefault="005764E2" w:rsidP="005764E2">
      <w:pPr>
        <w:tabs>
          <w:tab w:val="left" w:pos="851"/>
        </w:tabs>
        <w:rPr>
          <w:sz w:val="20"/>
          <w:szCs w:val="20"/>
          <w:lang w:bidi="ar-SA"/>
        </w:rPr>
      </w:pPr>
    </w:p>
    <w:p w14:paraId="00C275B8" w14:textId="77777777" w:rsidR="005764E2" w:rsidRPr="005764E2" w:rsidRDefault="005764E2" w:rsidP="005764E2">
      <w:pPr>
        <w:tabs>
          <w:tab w:val="left" w:pos="851"/>
        </w:tabs>
        <w:rPr>
          <w:sz w:val="20"/>
          <w:szCs w:val="20"/>
          <w:lang w:bidi="ar-SA"/>
        </w:rPr>
      </w:pPr>
    </w:p>
    <w:p w14:paraId="3F2AD45B" w14:textId="77777777" w:rsidR="005764E2" w:rsidRPr="005764E2" w:rsidRDefault="005764E2" w:rsidP="005764E2">
      <w:pPr>
        <w:tabs>
          <w:tab w:val="left" w:pos="851"/>
        </w:tabs>
        <w:rPr>
          <w:sz w:val="20"/>
          <w:szCs w:val="20"/>
          <w:lang w:bidi="ar-SA"/>
        </w:rPr>
      </w:pPr>
    </w:p>
    <w:p w14:paraId="69218FF5" w14:textId="77777777" w:rsidR="005764E2" w:rsidRPr="005764E2" w:rsidRDefault="005764E2" w:rsidP="005764E2">
      <w:pPr>
        <w:tabs>
          <w:tab w:val="left" w:pos="851"/>
        </w:tabs>
        <w:rPr>
          <w:sz w:val="20"/>
          <w:szCs w:val="20"/>
          <w:lang w:bidi="ar-SA"/>
        </w:rPr>
      </w:pPr>
    </w:p>
    <w:p w14:paraId="479C9AB2" w14:textId="77777777" w:rsidR="005764E2" w:rsidRPr="005764E2" w:rsidRDefault="005764E2" w:rsidP="005764E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764E2">
        <w:rPr>
          <w:b/>
          <w:sz w:val="20"/>
          <w:szCs w:val="20"/>
          <w:lang w:val="en-AU" w:bidi="ar-SA"/>
        </w:rPr>
        <w:t xml:space="preserve">Note:  </w:t>
      </w:r>
    </w:p>
    <w:p w14:paraId="5DE77FB2" w14:textId="77777777" w:rsidR="005764E2" w:rsidRPr="005764E2" w:rsidRDefault="005764E2" w:rsidP="005764E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151AB21F" w14:textId="0A6EC27F" w:rsidR="005764E2" w:rsidRPr="005764E2" w:rsidRDefault="005764E2" w:rsidP="005764E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764E2">
        <w:rPr>
          <w:sz w:val="20"/>
          <w:szCs w:val="20"/>
          <w:lang w:val="en-AU" w:bidi="ar-SA"/>
        </w:rPr>
        <w:t xml:space="preserve">This variation will be published in the Commonwealth of Australia Gazette No. FSC </w:t>
      </w:r>
      <w:r w:rsidRPr="005764E2">
        <w:rPr>
          <w:color w:val="FF0000"/>
          <w:sz w:val="20"/>
          <w:szCs w:val="20"/>
          <w:lang w:val="en-AU" w:bidi="ar-SA"/>
        </w:rPr>
        <w:t>XX on XX Month 20XX</w:t>
      </w:r>
      <w:r w:rsidRPr="005764E2">
        <w:rPr>
          <w:sz w:val="20"/>
          <w:szCs w:val="20"/>
          <w:lang w:val="en-AU" w:bidi="ar-SA"/>
        </w:rPr>
        <w:t xml:space="preserve">.. </w:t>
      </w:r>
    </w:p>
    <w:p w14:paraId="3C301CAA" w14:textId="77777777" w:rsidR="005764E2" w:rsidRPr="005764E2" w:rsidRDefault="005764E2" w:rsidP="005764E2">
      <w:pPr>
        <w:tabs>
          <w:tab w:val="left" w:pos="851"/>
        </w:tabs>
        <w:rPr>
          <w:sz w:val="20"/>
          <w:szCs w:val="20"/>
          <w:lang w:bidi="ar-SA"/>
        </w:rPr>
      </w:pPr>
    </w:p>
    <w:p w14:paraId="1CC87196" w14:textId="77777777" w:rsidR="005764E2" w:rsidRPr="005764E2" w:rsidRDefault="005764E2" w:rsidP="005764E2">
      <w:pPr>
        <w:widowControl/>
        <w:rPr>
          <w:sz w:val="20"/>
          <w:szCs w:val="20"/>
          <w:lang w:bidi="ar-SA"/>
        </w:rPr>
      </w:pPr>
      <w:r w:rsidRPr="005764E2">
        <w:rPr>
          <w:sz w:val="20"/>
          <w:szCs w:val="20"/>
          <w:lang w:bidi="ar-SA"/>
        </w:rPr>
        <w:br w:type="page"/>
      </w:r>
    </w:p>
    <w:p w14:paraId="50BA5A70" w14:textId="77777777" w:rsidR="005764E2" w:rsidRPr="005764E2" w:rsidRDefault="005764E2" w:rsidP="005764E2">
      <w:pPr>
        <w:tabs>
          <w:tab w:val="left" w:pos="851"/>
        </w:tabs>
        <w:rPr>
          <w:b/>
          <w:sz w:val="20"/>
          <w:szCs w:val="20"/>
          <w:lang w:bidi="ar-SA"/>
        </w:rPr>
      </w:pPr>
      <w:r w:rsidRPr="005764E2">
        <w:rPr>
          <w:b/>
          <w:sz w:val="20"/>
          <w:szCs w:val="20"/>
          <w:lang w:bidi="ar-SA"/>
        </w:rPr>
        <w:lastRenderedPageBreak/>
        <w:t>1</w:t>
      </w:r>
      <w:r w:rsidRPr="005764E2">
        <w:rPr>
          <w:b/>
          <w:sz w:val="20"/>
          <w:szCs w:val="20"/>
          <w:lang w:bidi="ar-SA"/>
        </w:rPr>
        <w:tab/>
        <w:t>Name</w:t>
      </w:r>
    </w:p>
    <w:p w14:paraId="182C5774" w14:textId="77777777" w:rsidR="005764E2" w:rsidRPr="005764E2" w:rsidRDefault="005764E2" w:rsidP="005764E2">
      <w:pPr>
        <w:tabs>
          <w:tab w:val="left" w:pos="1134"/>
        </w:tabs>
        <w:spacing w:before="120" w:after="120"/>
        <w:rPr>
          <w:rFonts w:cs="Arial"/>
          <w:iCs/>
          <w:sz w:val="20"/>
          <w:szCs w:val="22"/>
          <w:lang w:val="en-AU" w:eastAsia="en-AU" w:bidi="ar-SA"/>
        </w:rPr>
      </w:pPr>
      <w:r w:rsidRPr="005764E2">
        <w:rPr>
          <w:rFonts w:cs="Arial"/>
          <w:iCs/>
          <w:sz w:val="20"/>
          <w:szCs w:val="22"/>
          <w:lang w:val="en-AU" w:eastAsia="en-AU" w:bidi="ar-SA"/>
        </w:rPr>
        <w:t xml:space="preserve">This instrument is the </w:t>
      </w:r>
      <w:r w:rsidRPr="005764E2">
        <w:rPr>
          <w:rFonts w:cs="Arial"/>
          <w:i/>
          <w:iCs/>
          <w:sz w:val="20"/>
          <w:szCs w:val="22"/>
          <w:lang w:val="en-AU" w:eastAsia="en-AU" w:bidi="ar-SA"/>
        </w:rPr>
        <w:t>Food Standards (Application A1100 – Maximum Permitted Level of Acesulphame Potassium in Chewing Gum) Variation</w:t>
      </w:r>
      <w:r w:rsidRPr="005764E2">
        <w:rPr>
          <w:rFonts w:cs="Arial"/>
          <w:iCs/>
          <w:sz w:val="20"/>
          <w:szCs w:val="22"/>
          <w:lang w:val="en-AU" w:eastAsia="en-AU" w:bidi="ar-SA"/>
        </w:rPr>
        <w:t>.</w:t>
      </w:r>
    </w:p>
    <w:p w14:paraId="7823ABAB" w14:textId="77777777" w:rsidR="005764E2" w:rsidRPr="005764E2" w:rsidRDefault="005764E2" w:rsidP="005764E2">
      <w:pPr>
        <w:tabs>
          <w:tab w:val="left" w:pos="851"/>
        </w:tabs>
        <w:rPr>
          <w:b/>
          <w:sz w:val="20"/>
          <w:szCs w:val="20"/>
          <w:lang w:bidi="ar-SA"/>
        </w:rPr>
      </w:pPr>
      <w:r w:rsidRPr="005764E2">
        <w:rPr>
          <w:b/>
          <w:sz w:val="20"/>
          <w:szCs w:val="20"/>
          <w:lang w:bidi="ar-SA"/>
        </w:rPr>
        <w:t>2</w:t>
      </w:r>
      <w:r w:rsidRPr="005764E2">
        <w:rPr>
          <w:b/>
          <w:sz w:val="20"/>
          <w:szCs w:val="20"/>
          <w:lang w:bidi="ar-SA"/>
        </w:rPr>
        <w:tab/>
        <w:t xml:space="preserve">Variation to a Standard in the </w:t>
      </w:r>
      <w:r w:rsidRPr="005764E2">
        <w:rPr>
          <w:b/>
          <w:i/>
          <w:sz w:val="20"/>
          <w:szCs w:val="20"/>
          <w:lang w:bidi="ar-SA"/>
        </w:rPr>
        <w:t>Australia New Zealand Food Standards Code</w:t>
      </w:r>
    </w:p>
    <w:p w14:paraId="0B7DB79C" w14:textId="77777777" w:rsidR="005764E2" w:rsidRPr="005764E2" w:rsidRDefault="005764E2" w:rsidP="005764E2">
      <w:pPr>
        <w:tabs>
          <w:tab w:val="left" w:pos="1134"/>
        </w:tabs>
        <w:spacing w:before="120" w:after="120"/>
        <w:ind w:left="1701" w:hanging="1701"/>
        <w:rPr>
          <w:rFonts w:cs="Arial"/>
          <w:iCs/>
          <w:sz w:val="20"/>
          <w:szCs w:val="22"/>
          <w:lang w:val="en-AU" w:eastAsia="en-AU" w:bidi="ar-SA"/>
        </w:rPr>
      </w:pPr>
      <w:r w:rsidRPr="005764E2">
        <w:rPr>
          <w:rFonts w:cs="Arial"/>
          <w:iCs/>
          <w:sz w:val="20"/>
          <w:szCs w:val="22"/>
          <w:lang w:val="en-AU" w:eastAsia="en-AU" w:bidi="ar-SA"/>
        </w:rPr>
        <w:t xml:space="preserve">The Schedule varies Schedule 15 in the </w:t>
      </w:r>
      <w:r w:rsidRPr="005764E2">
        <w:rPr>
          <w:rFonts w:cs="Arial"/>
          <w:i/>
          <w:iCs/>
          <w:sz w:val="20"/>
          <w:szCs w:val="22"/>
          <w:lang w:val="en-AU" w:eastAsia="en-AU" w:bidi="ar-SA"/>
        </w:rPr>
        <w:t>Australia New Zealand Food Standards Code</w:t>
      </w:r>
      <w:r w:rsidRPr="005764E2">
        <w:rPr>
          <w:rFonts w:cs="Arial"/>
          <w:iCs/>
          <w:sz w:val="20"/>
          <w:szCs w:val="22"/>
          <w:lang w:val="en-AU" w:eastAsia="en-AU" w:bidi="ar-SA"/>
        </w:rPr>
        <w:t>.</w:t>
      </w:r>
    </w:p>
    <w:p w14:paraId="70F99224" w14:textId="77777777" w:rsidR="005764E2" w:rsidRPr="005764E2" w:rsidRDefault="005764E2" w:rsidP="005764E2">
      <w:pPr>
        <w:tabs>
          <w:tab w:val="left" w:pos="851"/>
        </w:tabs>
        <w:rPr>
          <w:b/>
          <w:sz w:val="20"/>
          <w:szCs w:val="20"/>
          <w:lang w:bidi="ar-SA"/>
        </w:rPr>
      </w:pPr>
      <w:r w:rsidRPr="005764E2">
        <w:rPr>
          <w:b/>
          <w:sz w:val="20"/>
          <w:szCs w:val="20"/>
          <w:lang w:bidi="ar-SA"/>
        </w:rPr>
        <w:t>3</w:t>
      </w:r>
      <w:r w:rsidRPr="005764E2">
        <w:rPr>
          <w:b/>
          <w:sz w:val="20"/>
          <w:szCs w:val="20"/>
          <w:lang w:bidi="ar-SA"/>
        </w:rPr>
        <w:tab/>
        <w:t>Commencement</w:t>
      </w:r>
    </w:p>
    <w:p w14:paraId="3168714E" w14:textId="3A44D8A0" w:rsidR="005764E2" w:rsidRPr="00135AD7" w:rsidRDefault="00135AD7" w:rsidP="00135AD7">
      <w:pPr>
        <w:tabs>
          <w:tab w:val="left" w:pos="1134"/>
        </w:tabs>
        <w:spacing w:before="120" w:after="120"/>
        <w:rPr>
          <w:rFonts w:cs="Arial"/>
          <w:iCs/>
          <w:sz w:val="20"/>
          <w:szCs w:val="20"/>
          <w:lang w:val="en-AU" w:eastAsia="en-AU" w:bidi="ar-SA"/>
        </w:rPr>
      </w:pPr>
      <w:r w:rsidRPr="00135AD7">
        <w:rPr>
          <w:sz w:val="20"/>
          <w:szCs w:val="20"/>
        </w:rPr>
        <w:t>This instrument commences on 1 March 2016 immediately after the commencement of Standard 5.1.1 – Revocation and transitional provisions —2014 Revision</w:t>
      </w:r>
      <w:r w:rsidR="005764E2" w:rsidRPr="00135AD7">
        <w:rPr>
          <w:rFonts w:cs="Arial"/>
          <w:iCs/>
          <w:sz w:val="20"/>
          <w:szCs w:val="20"/>
          <w:lang w:val="en-AU" w:eastAsia="en-AU" w:bidi="ar-SA"/>
        </w:rPr>
        <w:t>.</w:t>
      </w:r>
    </w:p>
    <w:p w14:paraId="0ECF8B57" w14:textId="77777777" w:rsidR="005764E2" w:rsidRPr="005764E2" w:rsidRDefault="005764E2" w:rsidP="005764E2">
      <w:pPr>
        <w:tabs>
          <w:tab w:val="left" w:pos="851"/>
        </w:tabs>
        <w:jc w:val="center"/>
        <w:rPr>
          <w:b/>
          <w:sz w:val="20"/>
          <w:szCs w:val="20"/>
          <w:lang w:bidi="ar-SA"/>
        </w:rPr>
      </w:pPr>
      <w:r w:rsidRPr="005764E2">
        <w:rPr>
          <w:b/>
          <w:sz w:val="20"/>
          <w:szCs w:val="20"/>
          <w:lang w:bidi="ar-SA"/>
        </w:rPr>
        <w:t>Schedule</w:t>
      </w:r>
    </w:p>
    <w:p w14:paraId="4B213F74" w14:textId="77777777" w:rsidR="005764E2" w:rsidRPr="005764E2" w:rsidRDefault="005764E2" w:rsidP="005764E2">
      <w:pPr>
        <w:widowControl/>
        <w:rPr>
          <w:sz w:val="20"/>
          <w:szCs w:val="20"/>
          <w:lang w:bidi="ar-SA"/>
        </w:rPr>
      </w:pPr>
    </w:p>
    <w:p w14:paraId="558C1D7B" w14:textId="6BAB1EBA" w:rsidR="005764E2" w:rsidRPr="005764E2" w:rsidRDefault="005764E2" w:rsidP="00910A30">
      <w:pPr>
        <w:tabs>
          <w:tab w:val="left" w:pos="851"/>
        </w:tabs>
        <w:spacing w:before="120" w:after="120"/>
        <w:rPr>
          <w:rFonts w:cs="Arial"/>
          <w:iCs/>
          <w:sz w:val="20"/>
          <w:szCs w:val="22"/>
          <w:lang w:val="en-AU" w:eastAsia="en-AU"/>
        </w:rPr>
      </w:pPr>
      <w:r w:rsidRPr="005764E2">
        <w:rPr>
          <w:rFonts w:cs="Arial"/>
          <w:b/>
          <w:iCs/>
          <w:sz w:val="20"/>
          <w:szCs w:val="22"/>
          <w:lang w:val="en-AU" w:eastAsia="en-AU"/>
        </w:rPr>
        <w:t>[1]</w:t>
      </w:r>
      <w:r w:rsidRPr="005764E2">
        <w:rPr>
          <w:rFonts w:cs="Arial"/>
          <w:b/>
          <w:iCs/>
          <w:sz w:val="20"/>
          <w:szCs w:val="22"/>
          <w:lang w:val="en-AU" w:eastAsia="en-AU"/>
        </w:rPr>
        <w:tab/>
        <w:t xml:space="preserve">The </w:t>
      </w:r>
      <w:r w:rsidR="004E791C">
        <w:rPr>
          <w:rFonts w:cs="Arial"/>
          <w:b/>
          <w:iCs/>
          <w:sz w:val="20"/>
          <w:szCs w:val="22"/>
          <w:lang w:val="en-AU" w:eastAsia="en-AU"/>
        </w:rPr>
        <w:t>t</w:t>
      </w:r>
      <w:r w:rsidRPr="005764E2">
        <w:rPr>
          <w:rFonts w:cs="Arial"/>
          <w:b/>
          <w:iCs/>
          <w:sz w:val="20"/>
          <w:szCs w:val="22"/>
          <w:lang w:val="en-AU" w:eastAsia="en-AU"/>
        </w:rPr>
        <w:t>able to section S15</w:t>
      </w:r>
      <w:r w:rsidRPr="005764E2">
        <w:rPr>
          <w:rFonts w:cs="Arial"/>
          <w:b/>
          <w:iCs/>
          <w:sz w:val="20"/>
          <w:szCs w:val="20"/>
          <w:lang w:val="en-AU" w:eastAsia="en-AU" w:bidi="ar-SA"/>
        </w:rPr>
        <w:t>—</w:t>
      </w:r>
      <w:r w:rsidRPr="005764E2">
        <w:rPr>
          <w:rFonts w:cs="Arial"/>
          <w:b/>
          <w:iCs/>
          <w:sz w:val="20"/>
          <w:szCs w:val="22"/>
          <w:lang w:val="en-AU" w:eastAsia="en-AU"/>
        </w:rPr>
        <w:t>5</w:t>
      </w:r>
      <w:r w:rsidRPr="005764E2">
        <w:rPr>
          <w:rFonts w:cs="Arial"/>
          <w:iCs/>
          <w:sz w:val="20"/>
          <w:szCs w:val="22"/>
          <w:lang w:val="en-AU" w:eastAsia="en-AU"/>
        </w:rPr>
        <w:t xml:space="preserve"> is varied by </w:t>
      </w:r>
    </w:p>
    <w:p w14:paraId="5A7CE922" w14:textId="19461849" w:rsidR="005764E2" w:rsidRPr="005764E2" w:rsidRDefault="005764E2" w:rsidP="00910A30">
      <w:pPr>
        <w:tabs>
          <w:tab w:val="left" w:pos="851"/>
        </w:tabs>
        <w:spacing w:before="120" w:after="120"/>
        <w:rPr>
          <w:rFonts w:cs="Arial"/>
          <w:iCs/>
          <w:sz w:val="20"/>
          <w:szCs w:val="22"/>
          <w:lang w:val="en-AU" w:eastAsia="en-AU"/>
        </w:rPr>
      </w:pPr>
      <w:r w:rsidRPr="005764E2">
        <w:rPr>
          <w:rFonts w:cs="Arial"/>
          <w:iCs/>
          <w:sz w:val="20"/>
          <w:szCs w:val="22"/>
          <w:lang w:val="en-AU" w:eastAsia="en-AU"/>
        </w:rPr>
        <w:t>[1.1]</w:t>
      </w:r>
      <w:r w:rsidRPr="005764E2">
        <w:rPr>
          <w:rFonts w:cs="Arial"/>
          <w:iCs/>
          <w:sz w:val="20"/>
          <w:szCs w:val="22"/>
          <w:lang w:val="en-AU" w:eastAsia="en-AU"/>
        </w:rPr>
        <w:tab/>
        <w:t xml:space="preserve">omitting </w:t>
      </w:r>
      <w:r w:rsidRPr="005764E2">
        <w:rPr>
          <w:rFonts w:cs="Arial"/>
          <w:iCs/>
          <w:sz w:val="20"/>
          <w:szCs w:val="22"/>
          <w:lang w:val="en-AU" w:eastAsia="en-AU" w:bidi="ar-SA"/>
        </w:rPr>
        <w:t xml:space="preserve">“See Note, below”, where first occurring in </w:t>
      </w:r>
      <w:r w:rsidR="004E791C">
        <w:rPr>
          <w:rFonts w:cs="Arial"/>
          <w:iCs/>
          <w:sz w:val="20"/>
          <w:szCs w:val="22"/>
          <w:lang w:val="en-AU" w:eastAsia="en-AU"/>
        </w:rPr>
        <w:t>i</w:t>
      </w:r>
      <w:r w:rsidRPr="005764E2">
        <w:rPr>
          <w:rFonts w:cs="Arial"/>
          <w:iCs/>
          <w:sz w:val="20"/>
          <w:szCs w:val="22"/>
          <w:lang w:val="en-AU" w:eastAsia="en-AU"/>
        </w:rPr>
        <w:t>tem 5</w:t>
      </w:r>
      <w:r w:rsidRPr="005764E2">
        <w:rPr>
          <w:rFonts w:cs="Arial"/>
          <w:iCs/>
          <w:sz w:val="20"/>
          <w:szCs w:val="22"/>
          <w:lang w:val="en-AU" w:eastAsia="en-AU" w:bidi="ar-SA"/>
        </w:rPr>
        <w:t xml:space="preserve">, substituting </w:t>
      </w:r>
      <w:r w:rsidRPr="005764E2">
        <w:rPr>
          <w:rFonts w:cs="Arial"/>
          <w:iCs/>
          <w:sz w:val="20"/>
          <w:szCs w:val="22"/>
          <w:lang w:val="en-AU" w:eastAsia="en-AU"/>
        </w:rPr>
        <w:t xml:space="preserve">“Not for </w:t>
      </w:r>
      <w:r w:rsidRPr="005764E2">
        <w:rPr>
          <w:rFonts w:cs="Arial"/>
          <w:iCs/>
          <w:sz w:val="20"/>
          <w:szCs w:val="22"/>
          <w:lang w:eastAsia="en-AU" w:bidi="ar-SA"/>
        </w:rPr>
        <w:t>bubble gum and chewing gum.</w:t>
      </w:r>
      <w:r w:rsidRPr="005764E2">
        <w:rPr>
          <w:rFonts w:cs="Arial"/>
          <w:iCs/>
          <w:sz w:val="20"/>
          <w:szCs w:val="22"/>
          <w:lang w:val="en-AU" w:eastAsia="en-AU" w:bidi="ar-SA"/>
        </w:rPr>
        <w:t>”</w:t>
      </w:r>
      <w:r w:rsidRPr="005764E2">
        <w:rPr>
          <w:rFonts w:cs="Arial"/>
          <w:iCs/>
          <w:sz w:val="20"/>
          <w:szCs w:val="22"/>
          <w:lang w:val="en-AU" w:eastAsia="en-AU"/>
        </w:rPr>
        <w:t xml:space="preserve"> </w:t>
      </w:r>
    </w:p>
    <w:p w14:paraId="3882A31B" w14:textId="15BAA81E" w:rsidR="005764E2" w:rsidRPr="005764E2" w:rsidRDefault="005764E2" w:rsidP="00910A30">
      <w:pPr>
        <w:tabs>
          <w:tab w:val="left" w:pos="851"/>
        </w:tabs>
        <w:spacing w:before="120" w:after="120"/>
        <w:rPr>
          <w:rFonts w:cs="Arial"/>
          <w:iCs/>
          <w:sz w:val="20"/>
          <w:szCs w:val="22"/>
          <w:lang w:val="en-AU" w:eastAsia="en-AU"/>
        </w:rPr>
      </w:pPr>
      <w:r w:rsidRPr="005764E2">
        <w:rPr>
          <w:rFonts w:cs="Arial"/>
          <w:iCs/>
          <w:sz w:val="20"/>
          <w:szCs w:val="22"/>
          <w:lang w:val="en-AU" w:eastAsia="en-AU"/>
        </w:rPr>
        <w:t>[1.2]</w:t>
      </w:r>
      <w:r w:rsidRPr="005764E2">
        <w:rPr>
          <w:rFonts w:cs="Arial"/>
          <w:iCs/>
          <w:sz w:val="20"/>
          <w:szCs w:val="22"/>
          <w:lang w:val="en-AU" w:eastAsia="en-AU"/>
        </w:rPr>
        <w:tab/>
        <w:t xml:space="preserve">omitting “950,” </w:t>
      </w:r>
      <w:r w:rsidRPr="005764E2">
        <w:rPr>
          <w:rFonts w:cs="Arial"/>
          <w:iCs/>
          <w:sz w:val="20"/>
          <w:szCs w:val="22"/>
          <w:lang w:val="en-AU" w:eastAsia="en-AU" w:bidi="ar-SA"/>
        </w:rPr>
        <w:t xml:space="preserve">from the Note to </w:t>
      </w:r>
      <w:r w:rsidR="004E791C">
        <w:rPr>
          <w:rFonts w:cs="Arial"/>
          <w:iCs/>
          <w:sz w:val="20"/>
          <w:szCs w:val="22"/>
          <w:lang w:val="en-AU" w:eastAsia="en-AU"/>
        </w:rPr>
        <w:t>i</w:t>
      </w:r>
      <w:r w:rsidRPr="005764E2">
        <w:rPr>
          <w:rFonts w:cs="Arial"/>
          <w:iCs/>
          <w:sz w:val="20"/>
          <w:szCs w:val="22"/>
          <w:lang w:val="en-AU" w:eastAsia="en-AU"/>
        </w:rPr>
        <w:t>tem 5</w:t>
      </w:r>
    </w:p>
    <w:p w14:paraId="61C24BDF" w14:textId="2B06036A" w:rsidR="005764E2" w:rsidRPr="005764E2" w:rsidRDefault="005764E2" w:rsidP="00910A30">
      <w:pPr>
        <w:tabs>
          <w:tab w:val="left" w:pos="851"/>
        </w:tabs>
        <w:spacing w:before="120" w:after="120"/>
        <w:rPr>
          <w:rFonts w:cs="Arial"/>
          <w:iCs/>
          <w:sz w:val="20"/>
          <w:szCs w:val="22"/>
          <w:lang w:val="en-AU" w:eastAsia="en-AU"/>
        </w:rPr>
      </w:pPr>
      <w:r w:rsidRPr="005764E2">
        <w:rPr>
          <w:rFonts w:cs="Arial"/>
          <w:iCs/>
          <w:sz w:val="20"/>
          <w:szCs w:val="22"/>
          <w:lang w:val="en-AU" w:eastAsia="en-AU"/>
        </w:rPr>
        <w:t>[1.3]</w:t>
      </w:r>
      <w:r w:rsidRPr="005764E2">
        <w:rPr>
          <w:rFonts w:cs="Arial"/>
          <w:iCs/>
          <w:sz w:val="20"/>
          <w:szCs w:val="22"/>
          <w:lang w:val="en-AU" w:eastAsia="en-AU"/>
        </w:rPr>
        <w:tab/>
        <w:t xml:space="preserve">inserting in </w:t>
      </w:r>
      <w:r w:rsidR="00E02006">
        <w:rPr>
          <w:rFonts w:cs="Arial"/>
          <w:iCs/>
          <w:sz w:val="20"/>
          <w:szCs w:val="22"/>
          <w:lang w:val="en-AU" w:eastAsia="en-AU"/>
        </w:rPr>
        <w:t>sub</w:t>
      </w:r>
      <w:r w:rsidR="004E791C">
        <w:rPr>
          <w:rFonts w:cs="Arial"/>
          <w:iCs/>
          <w:sz w:val="20"/>
          <w:szCs w:val="22"/>
          <w:lang w:val="en-AU" w:eastAsia="en-AU"/>
        </w:rPr>
        <w:t>i</w:t>
      </w:r>
      <w:r w:rsidRPr="005764E2">
        <w:rPr>
          <w:rFonts w:cs="Arial"/>
          <w:iCs/>
          <w:sz w:val="20"/>
          <w:szCs w:val="22"/>
          <w:lang w:val="en-AU" w:eastAsia="en-AU"/>
        </w:rPr>
        <w:t xml:space="preserve">tem 5.2.1 after the entry for additive 321 </w:t>
      </w:r>
    </w:p>
    <w:p w14:paraId="75E581E6" w14:textId="77777777" w:rsidR="005764E2" w:rsidRPr="005764E2" w:rsidRDefault="005764E2" w:rsidP="005764E2">
      <w:pPr>
        <w:tabs>
          <w:tab w:val="left" w:pos="1134"/>
        </w:tabs>
        <w:spacing w:before="120" w:after="120"/>
        <w:ind w:left="1701" w:hanging="1701"/>
        <w:rPr>
          <w:rFonts w:cs="Arial"/>
          <w:iCs/>
          <w:sz w:val="20"/>
          <w:szCs w:val="22"/>
          <w:lang w:val="en-AU" w:eastAsia="en-AU"/>
        </w:rPr>
      </w:pPr>
      <w:r w:rsidRPr="005764E2">
        <w:rPr>
          <w:rFonts w:cs="Arial"/>
          <w:iCs/>
          <w:sz w:val="20"/>
          <w:szCs w:val="22"/>
          <w:lang w:val="en-AU" w:eastAsia="en-AU"/>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5764E2" w:rsidRPr="005764E2" w14:paraId="2F2C1E79" w14:textId="77777777" w:rsidTr="00276BB3">
        <w:trPr>
          <w:cantSplit/>
        </w:trPr>
        <w:tc>
          <w:tcPr>
            <w:tcW w:w="1668" w:type="dxa"/>
          </w:tcPr>
          <w:p w14:paraId="00B5573C" w14:textId="77777777" w:rsidR="005764E2" w:rsidRPr="005764E2" w:rsidRDefault="005764E2" w:rsidP="005764E2">
            <w:pPr>
              <w:keepLines/>
              <w:widowControl/>
              <w:spacing w:before="20" w:after="20"/>
              <w:rPr>
                <w:rFonts w:eastAsiaTheme="minorHAnsi" w:cs="Arial"/>
                <w:sz w:val="18"/>
                <w:szCs w:val="22"/>
                <w:lang w:val="en-AU" w:bidi="ar-SA"/>
              </w:rPr>
            </w:pPr>
            <w:r w:rsidRPr="005764E2">
              <w:rPr>
                <w:rFonts w:eastAsiaTheme="minorHAnsi" w:cs="Arial"/>
                <w:sz w:val="18"/>
                <w:szCs w:val="22"/>
                <w:lang w:val="en-AU" w:bidi="ar-SA"/>
              </w:rPr>
              <w:t>950</w:t>
            </w:r>
          </w:p>
        </w:tc>
        <w:tc>
          <w:tcPr>
            <w:tcW w:w="4252" w:type="dxa"/>
          </w:tcPr>
          <w:p w14:paraId="47E043E1" w14:textId="77777777" w:rsidR="005764E2" w:rsidRPr="005764E2" w:rsidRDefault="005764E2" w:rsidP="005764E2">
            <w:pPr>
              <w:keepLines/>
              <w:widowControl/>
              <w:spacing w:before="20" w:after="20"/>
              <w:rPr>
                <w:rFonts w:eastAsiaTheme="minorHAnsi" w:cs="Arial"/>
                <w:sz w:val="18"/>
                <w:szCs w:val="22"/>
                <w:lang w:val="en-AU" w:bidi="ar-SA"/>
              </w:rPr>
            </w:pPr>
            <w:r w:rsidRPr="005764E2">
              <w:rPr>
                <w:rFonts w:eastAsiaTheme="minorHAnsi" w:cs="Arial"/>
                <w:sz w:val="18"/>
                <w:szCs w:val="22"/>
                <w:lang w:val="en-AU" w:bidi="ar-SA"/>
              </w:rPr>
              <w:t>Acesulphame potassium</w:t>
            </w:r>
          </w:p>
        </w:tc>
        <w:tc>
          <w:tcPr>
            <w:tcW w:w="992" w:type="dxa"/>
          </w:tcPr>
          <w:p w14:paraId="0198F997" w14:textId="77777777" w:rsidR="005764E2" w:rsidRPr="005764E2" w:rsidRDefault="005764E2" w:rsidP="005764E2">
            <w:pPr>
              <w:keepLines/>
              <w:widowControl/>
              <w:spacing w:before="20" w:after="20"/>
              <w:jc w:val="right"/>
              <w:rPr>
                <w:rFonts w:eastAsiaTheme="minorHAnsi" w:cs="Arial"/>
                <w:sz w:val="18"/>
                <w:szCs w:val="22"/>
                <w:lang w:val="en-AU" w:bidi="ar-SA"/>
              </w:rPr>
            </w:pPr>
            <w:r w:rsidRPr="005764E2">
              <w:rPr>
                <w:rFonts w:eastAsiaTheme="minorHAnsi" w:cs="Arial"/>
                <w:sz w:val="18"/>
                <w:szCs w:val="22"/>
                <w:lang w:val="en-AU" w:bidi="ar-SA"/>
              </w:rPr>
              <w:t>5 000</w:t>
            </w:r>
          </w:p>
        </w:tc>
        <w:tc>
          <w:tcPr>
            <w:tcW w:w="2160" w:type="dxa"/>
          </w:tcPr>
          <w:p w14:paraId="64ABD58B" w14:textId="77777777" w:rsidR="005764E2" w:rsidRPr="005764E2" w:rsidRDefault="005764E2" w:rsidP="005764E2">
            <w:pPr>
              <w:keepLines/>
              <w:widowControl/>
              <w:spacing w:before="20" w:after="20"/>
              <w:rPr>
                <w:rFonts w:eastAsiaTheme="minorHAnsi" w:cs="Arial"/>
                <w:sz w:val="18"/>
                <w:szCs w:val="22"/>
                <w:lang w:val="en-AU" w:bidi="ar-SA"/>
              </w:rPr>
            </w:pPr>
            <w:r w:rsidRPr="005764E2">
              <w:rPr>
                <w:rFonts w:eastAsiaTheme="minorHAnsi" w:cs="Arial"/>
                <w:sz w:val="18"/>
                <w:szCs w:val="22"/>
                <w:lang w:val="en-AU" w:bidi="ar-SA"/>
              </w:rPr>
              <w:t>See Note, below</w:t>
            </w:r>
          </w:p>
        </w:tc>
      </w:tr>
      <w:tr w:rsidR="005764E2" w:rsidRPr="005764E2" w14:paraId="3DAED22E" w14:textId="77777777" w:rsidTr="00276BB3">
        <w:trPr>
          <w:cantSplit/>
        </w:trPr>
        <w:tc>
          <w:tcPr>
            <w:tcW w:w="1668" w:type="dxa"/>
          </w:tcPr>
          <w:p w14:paraId="4A99D941" w14:textId="77777777" w:rsidR="005764E2" w:rsidRPr="005764E2" w:rsidRDefault="005764E2" w:rsidP="005764E2">
            <w:pPr>
              <w:keepLines/>
              <w:widowControl/>
              <w:spacing w:before="20" w:after="20"/>
              <w:rPr>
                <w:rFonts w:eastAsiaTheme="minorHAnsi" w:cs="Arial"/>
                <w:sz w:val="18"/>
                <w:szCs w:val="22"/>
                <w:lang w:val="en-AU" w:bidi="ar-SA"/>
              </w:rPr>
            </w:pPr>
          </w:p>
        </w:tc>
        <w:tc>
          <w:tcPr>
            <w:tcW w:w="4252" w:type="dxa"/>
          </w:tcPr>
          <w:p w14:paraId="0B306F87" w14:textId="77777777" w:rsidR="005764E2" w:rsidRPr="005764E2" w:rsidRDefault="005764E2" w:rsidP="005764E2">
            <w:pPr>
              <w:keepLines/>
              <w:widowControl/>
              <w:spacing w:before="20" w:after="20"/>
              <w:rPr>
                <w:rFonts w:eastAsiaTheme="minorHAnsi" w:cs="Arial"/>
                <w:sz w:val="18"/>
                <w:szCs w:val="22"/>
                <w:lang w:val="en-AU" w:bidi="ar-SA"/>
              </w:rPr>
            </w:pPr>
          </w:p>
        </w:tc>
        <w:tc>
          <w:tcPr>
            <w:tcW w:w="992" w:type="dxa"/>
          </w:tcPr>
          <w:p w14:paraId="5C334A82" w14:textId="77777777" w:rsidR="005764E2" w:rsidRPr="005764E2" w:rsidRDefault="005764E2" w:rsidP="005764E2">
            <w:pPr>
              <w:keepLines/>
              <w:widowControl/>
              <w:spacing w:before="20" w:after="20"/>
              <w:jc w:val="right"/>
              <w:rPr>
                <w:rFonts w:eastAsiaTheme="minorHAnsi" w:cs="Arial"/>
                <w:sz w:val="18"/>
                <w:szCs w:val="22"/>
                <w:lang w:val="en-AU" w:bidi="ar-SA"/>
              </w:rPr>
            </w:pPr>
          </w:p>
        </w:tc>
        <w:tc>
          <w:tcPr>
            <w:tcW w:w="2160" w:type="dxa"/>
          </w:tcPr>
          <w:p w14:paraId="36BE4D78" w14:textId="3DFF0919" w:rsidR="005764E2" w:rsidRPr="005764E2" w:rsidRDefault="005764E2" w:rsidP="00BD3997">
            <w:pPr>
              <w:keepLines/>
              <w:widowControl/>
              <w:spacing w:before="20" w:after="20"/>
              <w:rPr>
                <w:rFonts w:eastAsiaTheme="minorHAnsi" w:cs="Arial"/>
                <w:sz w:val="18"/>
                <w:szCs w:val="22"/>
                <w:lang w:val="en-AU" w:bidi="ar-SA"/>
              </w:rPr>
            </w:pPr>
            <w:r w:rsidRPr="005764E2">
              <w:rPr>
                <w:rFonts w:eastAsiaTheme="minorHAnsi" w:cs="Arial"/>
                <w:b/>
                <w:i/>
                <w:sz w:val="18"/>
                <w:szCs w:val="22"/>
                <w:lang w:val="en-AU" w:bidi="ar-SA"/>
              </w:rPr>
              <w:t>Note</w:t>
            </w:r>
            <w:r w:rsidRPr="005764E2">
              <w:rPr>
                <w:rFonts w:eastAsiaTheme="minorHAnsi" w:cs="Arial"/>
                <w:sz w:val="18"/>
                <w:szCs w:val="22"/>
                <w:lang w:val="en-AU" w:bidi="ar-SA"/>
              </w:rPr>
              <w:t xml:space="preserve"> Section 1.3.1—5 does not apply</w:t>
            </w:r>
          </w:p>
        </w:tc>
      </w:tr>
    </w:tbl>
    <w:p w14:paraId="76C20387" w14:textId="77777777" w:rsidR="005764E2" w:rsidRPr="005764E2" w:rsidRDefault="005764E2" w:rsidP="005764E2">
      <w:pPr>
        <w:tabs>
          <w:tab w:val="left" w:pos="1134"/>
        </w:tabs>
        <w:spacing w:before="120" w:after="120"/>
        <w:ind w:left="1701" w:hanging="1701"/>
        <w:jc w:val="right"/>
        <w:rPr>
          <w:rFonts w:cs="Arial"/>
          <w:iCs/>
          <w:sz w:val="20"/>
          <w:szCs w:val="22"/>
          <w:lang w:val="en-AU" w:eastAsia="en-AU"/>
        </w:rPr>
      </w:pPr>
      <w:r w:rsidRPr="005764E2">
        <w:rPr>
          <w:rFonts w:cs="Arial"/>
          <w:iCs/>
          <w:sz w:val="20"/>
          <w:szCs w:val="22"/>
          <w:lang w:val="en-AU" w:eastAsia="en-AU"/>
        </w:rPr>
        <w:t>”</w:t>
      </w:r>
    </w:p>
    <w:p w14:paraId="0C0E4390" w14:textId="77777777" w:rsidR="005764E2" w:rsidRPr="005764E2" w:rsidRDefault="005764E2" w:rsidP="005764E2">
      <w:pPr>
        <w:tabs>
          <w:tab w:val="left" w:pos="1134"/>
        </w:tabs>
        <w:spacing w:before="120" w:after="120"/>
        <w:ind w:left="1701" w:hanging="1701"/>
        <w:rPr>
          <w:rFonts w:cs="Arial"/>
          <w:iCs/>
          <w:sz w:val="20"/>
          <w:szCs w:val="22"/>
          <w:lang w:val="en-AU" w:eastAsia="en-AU"/>
        </w:rPr>
      </w:pPr>
    </w:p>
    <w:p w14:paraId="1A42A5FC" w14:textId="77777777" w:rsidR="005764E2" w:rsidRPr="005764E2" w:rsidRDefault="005764E2" w:rsidP="005764E2">
      <w:pPr>
        <w:tabs>
          <w:tab w:val="left" w:pos="1134"/>
        </w:tabs>
        <w:spacing w:before="120" w:after="120"/>
        <w:ind w:left="1701" w:hanging="1701"/>
        <w:rPr>
          <w:rFonts w:cs="Arial"/>
          <w:iCs/>
          <w:sz w:val="20"/>
          <w:szCs w:val="22"/>
          <w:lang w:val="en-AU" w:eastAsia="en-AU"/>
        </w:rPr>
      </w:pPr>
    </w:p>
    <w:p w14:paraId="09E670A5" w14:textId="77777777" w:rsidR="005764E2" w:rsidRPr="005764E2" w:rsidRDefault="005764E2" w:rsidP="005764E2">
      <w:pPr>
        <w:tabs>
          <w:tab w:val="left" w:pos="1134"/>
        </w:tabs>
        <w:spacing w:before="120" w:after="120"/>
        <w:ind w:left="1701" w:hanging="1701"/>
        <w:rPr>
          <w:rFonts w:cs="Arial"/>
          <w:iCs/>
          <w:sz w:val="20"/>
          <w:szCs w:val="22"/>
          <w:lang w:val="en-AU" w:eastAsia="en-AU" w:bidi="ar-SA"/>
        </w:rPr>
      </w:pPr>
    </w:p>
    <w:p w14:paraId="658A8499" w14:textId="40FA13CC" w:rsidR="00AB0275" w:rsidRDefault="00AB0275" w:rsidP="00AB0275">
      <w:pPr>
        <w:pStyle w:val="Heading2"/>
        <w:ind w:left="0" w:firstLine="0"/>
      </w:pPr>
      <w:r w:rsidRPr="00932F14">
        <w:br w:type="page"/>
      </w:r>
      <w:bookmarkStart w:id="90" w:name="_Toc423071176"/>
      <w:bookmarkStart w:id="91" w:name="_Toc427676516"/>
      <w:bookmarkEnd w:id="78"/>
      <w:r w:rsidR="003747BF">
        <w:lastRenderedPageBreak/>
        <w:t>Attachment B – Draft Explanatory Statement</w:t>
      </w:r>
      <w:bookmarkEnd w:id="90"/>
      <w:bookmarkEnd w:id="91"/>
    </w:p>
    <w:p w14:paraId="658A849A"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58A849B" w14:textId="77777777" w:rsidR="00AB0275" w:rsidRDefault="00AB0275" w:rsidP="00AB0275">
      <w:pPr>
        <w:rPr>
          <w:lang w:val="en-AU" w:eastAsia="en-GB" w:bidi="ar-SA"/>
        </w:rPr>
      </w:pPr>
    </w:p>
    <w:p w14:paraId="658A849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58A849D" w14:textId="77777777" w:rsidR="00AB0275" w:rsidRPr="00D13E34" w:rsidRDefault="00AB0275" w:rsidP="00AB0275">
      <w:pPr>
        <w:widowControl/>
        <w:autoSpaceDE w:val="0"/>
        <w:autoSpaceDN w:val="0"/>
        <w:adjustRightInd w:val="0"/>
        <w:rPr>
          <w:rFonts w:eastAsia="Calibri" w:cs="Arial"/>
          <w:bCs/>
          <w:szCs w:val="22"/>
          <w:lang w:val="en-AU" w:bidi="ar-SA"/>
        </w:rPr>
      </w:pPr>
    </w:p>
    <w:p w14:paraId="658A849E" w14:textId="77777777" w:rsidR="00AB0275" w:rsidRPr="005F37D1" w:rsidRDefault="00AB0275" w:rsidP="00AB0275">
      <w:pPr>
        <w:widowControl/>
        <w:autoSpaceDE w:val="0"/>
        <w:autoSpaceDN w:val="0"/>
        <w:adjustRightInd w:val="0"/>
        <w:rPr>
          <w:rFonts w:eastAsia="Calibri" w:cs="Arial"/>
          <w:bCs/>
          <w:szCs w:val="22"/>
          <w:lang w:val="en-AU" w:bidi="ar-SA"/>
        </w:rPr>
      </w:pPr>
      <w:r w:rsidRPr="005F37D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58A849F" w14:textId="77777777" w:rsidR="00AB0275" w:rsidRPr="005F37D1" w:rsidRDefault="00AB0275" w:rsidP="00AB0275">
      <w:pPr>
        <w:widowControl/>
        <w:autoSpaceDE w:val="0"/>
        <w:autoSpaceDN w:val="0"/>
        <w:adjustRightInd w:val="0"/>
        <w:rPr>
          <w:rFonts w:eastAsia="Calibri" w:cs="Arial"/>
          <w:bCs/>
          <w:szCs w:val="22"/>
          <w:lang w:val="en-AU" w:bidi="ar-SA"/>
        </w:rPr>
      </w:pPr>
    </w:p>
    <w:p w14:paraId="658A84A0" w14:textId="427B5217" w:rsidR="00AB0275" w:rsidRPr="005F37D1" w:rsidRDefault="00AB0275" w:rsidP="00AB0275">
      <w:pPr>
        <w:widowControl/>
        <w:autoSpaceDE w:val="0"/>
        <w:autoSpaceDN w:val="0"/>
        <w:adjustRightInd w:val="0"/>
        <w:rPr>
          <w:rFonts w:eastAsia="Calibri" w:cs="Arial"/>
          <w:bCs/>
          <w:szCs w:val="22"/>
          <w:lang w:val="en-AU" w:bidi="ar-SA"/>
        </w:rPr>
      </w:pPr>
      <w:r w:rsidRPr="005F37D1">
        <w:rPr>
          <w:rFonts w:eastAsia="Calibri" w:cs="Arial"/>
          <w:bCs/>
          <w:szCs w:val="22"/>
          <w:lang w:val="en-AU" w:bidi="ar-SA"/>
        </w:rPr>
        <w:t xml:space="preserve">FSANZ accepted Application </w:t>
      </w:r>
      <w:r w:rsidR="00545135" w:rsidRPr="005F37D1">
        <w:rPr>
          <w:rFonts w:eastAsia="Calibri" w:cs="Arial"/>
          <w:bCs/>
          <w:szCs w:val="22"/>
          <w:lang w:val="en-AU" w:bidi="ar-SA"/>
        </w:rPr>
        <w:t>A1100</w:t>
      </w:r>
      <w:r w:rsidRPr="005F37D1">
        <w:rPr>
          <w:rFonts w:eastAsia="Calibri" w:cs="Arial"/>
          <w:bCs/>
          <w:szCs w:val="22"/>
          <w:lang w:val="en-AU" w:bidi="ar-SA"/>
        </w:rPr>
        <w:t xml:space="preserve"> which seeks to </w:t>
      </w:r>
      <w:r w:rsidR="00545135" w:rsidRPr="005F37D1">
        <w:rPr>
          <w:rFonts w:eastAsia="Calibri" w:cs="Arial"/>
          <w:bCs/>
          <w:szCs w:val="22"/>
          <w:lang w:val="en-AU" w:bidi="ar-SA"/>
        </w:rPr>
        <w:t>increase the maximum permitted leve</w:t>
      </w:r>
      <w:r w:rsidR="00BF4898">
        <w:rPr>
          <w:rFonts w:eastAsia="Calibri" w:cs="Arial"/>
          <w:bCs/>
          <w:szCs w:val="22"/>
          <w:lang w:val="en-AU" w:bidi="ar-SA"/>
        </w:rPr>
        <w:t xml:space="preserve">l </w:t>
      </w:r>
      <w:r w:rsidR="00A6353C">
        <w:rPr>
          <w:rFonts w:eastAsia="Calibri" w:cs="Arial"/>
          <w:bCs/>
          <w:szCs w:val="22"/>
          <w:lang w:val="en-AU" w:bidi="ar-SA"/>
        </w:rPr>
        <w:t xml:space="preserve">(MPL) </w:t>
      </w:r>
      <w:r w:rsidR="00BF4898">
        <w:rPr>
          <w:rFonts w:eastAsia="Calibri" w:cs="Arial"/>
          <w:bCs/>
          <w:szCs w:val="22"/>
          <w:lang w:val="en-AU" w:bidi="ar-SA"/>
        </w:rPr>
        <w:t xml:space="preserve">of acesulphame potassium (Ace </w:t>
      </w:r>
      <w:r w:rsidR="00545135" w:rsidRPr="005F37D1">
        <w:rPr>
          <w:rFonts w:eastAsia="Calibri" w:cs="Arial"/>
          <w:bCs/>
          <w:szCs w:val="22"/>
          <w:lang w:val="en-AU" w:bidi="ar-SA"/>
        </w:rPr>
        <w:t xml:space="preserve">K) in chewing gum to align with the international regulations and so standardise formulations. </w:t>
      </w:r>
      <w:r w:rsidRPr="005F37D1">
        <w:rPr>
          <w:rFonts w:eastAsia="Calibri" w:cs="Arial"/>
          <w:bCs/>
          <w:szCs w:val="22"/>
          <w:lang w:val="en-AU" w:bidi="ar-SA"/>
        </w:rPr>
        <w:t xml:space="preserve">The Authority considered the Application in accordance with Division 1 of Part 3 and has approved a draft Standard. </w:t>
      </w:r>
    </w:p>
    <w:p w14:paraId="658A84A6" w14:textId="77777777" w:rsidR="00AB0275" w:rsidRPr="00D13E34" w:rsidRDefault="00AB0275" w:rsidP="00AB0275">
      <w:pPr>
        <w:widowControl/>
        <w:autoSpaceDE w:val="0"/>
        <w:autoSpaceDN w:val="0"/>
        <w:adjustRightInd w:val="0"/>
        <w:rPr>
          <w:rFonts w:eastAsia="Calibri" w:cs="Arial"/>
          <w:bCs/>
          <w:szCs w:val="22"/>
          <w:lang w:val="en-AU" w:bidi="ar-SA"/>
        </w:rPr>
      </w:pPr>
    </w:p>
    <w:p w14:paraId="658A84A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58A84A8" w14:textId="77777777" w:rsidR="00AB0275" w:rsidRDefault="00AB0275" w:rsidP="00AB0275">
      <w:pPr>
        <w:rPr>
          <w:lang w:val="en-AU" w:eastAsia="en-GB" w:bidi="ar-SA"/>
        </w:rPr>
      </w:pPr>
    </w:p>
    <w:p w14:paraId="52C6E23F" w14:textId="52411EA9" w:rsidR="000A0899" w:rsidRDefault="000A0899" w:rsidP="000A0899">
      <w:r>
        <w:rPr>
          <w:lang w:val="en-AU" w:eastAsia="en-GB" w:bidi="ar-SA"/>
        </w:rPr>
        <w:t xml:space="preserve">The Authority has </w:t>
      </w:r>
      <w:r w:rsidRPr="00F83A2A">
        <w:rPr>
          <w:lang w:val="en-AU" w:eastAsia="en-GB" w:bidi="ar-SA"/>
        </w:rPr>
        <w:t>approved</w:t>
      </w:r>
      <w:r w:rsidRPr="00F83A2A">
        <w:rPr>
          <w:rFonts w:eastAsia="Calibri" w:cs="Arial"/>
          <w:bCs/>
          <w:szCs w:val="22"/>
          <w:lang w:val="en-AU" w:bidi="ar-SA"/>
        </w:rPr>
        <w:t xml:space="preserve"> a draft </w:t>
      </w:r>
      <w:r>
        <w:rPr>
          <w:rFonts w:eastAsia="Calibri" w:cs="Arial"/>
          <w:bCs/>
          <w:szCs w:val="22"/>
          <w:lang w:val="en-AU" w:bidi="ar-SA"/>
        </w:rPr>
        <w:t>variation</w:t>
      </w:r>
      <w:r w:rsidRPr="00F83A2A">
        <w:rPr>
          <w:rFonts w:eastAsia="Calibri" w:cs="Arial"/>
          <w:bCs/>
          <w:szCs w:val="22"/>
          <w:lang w:val="en-AU" w:bidi="ar-SA"/>
        </w:rPr>
        <w:t xml:space="preserve"> to </w:t>
      </w:r>
      <w:r w:rsidR="00BD3997">
        <w:rPr>
          <w:rFonts w:eastAsia="Calibri" w:cs="Arial"/>
          <w:bCs/>
          <w:szCs w:val="22"/>
          <w:lang w:val="en-AU" w:bidi="ar-SA"/>
        </w:rPr>
        <w:t xml:space="preserve">Schedule </w:t>
      </w:r>
      <w:r w:rsidRPr="00F83A2A">
        <w:t>S</w:t>
      </w:r>
      <w:r>
        <w:t>15</w:t>
      </w:r>
      <w:r w:rsidR="00974009">
        <w:t>–</w:t>
      </w:r>
      <w:r>
        <w:t xml:space="preserve">5 which would </w:t>
      </w:r>
      <w:r w:rsidRPr="00AA26C8">
        <w:t>allow</w:t>
      </w:r>
      <w:r>
        <w:t xml:space="preserve"> a higher</w:t>
      </w:r>
      <w:r w:rsidR="00DA1D6C">
        <w:t xml:space="preserve"> tha</w:t>
      </w:r>
      <w:r w:rsidR="000420CB">
        <w:t>n currently permitted</w:t>
      </w:r>
      <w:r>
        <w:t xml:space="preserve"> MPL for Ace K</w:t>
      </w:r>
      <w:r w:rsidR="000420CB">
        <w:t xml:space="preserve">, </w:t>
      </w:r>
      <w:r>
        <w:t>a food additive</w:t>
      </w:r>
      <w:r w:rsidRPr="00AA26C8">
        <w:t xml:space="preserve"> (</w:t>
      </w:r>
      <w:r>
        <w:t>sweetener</w:t>
      </w:r>
      <w:r w:rsidR="002B4636">
        <w:t xml:space="preserve"> and flavour enhancer</w:t>
      </w:r>
      <w:r>
        <w:t xml:space="preserve">) in chewing gum. Permitting this higher level in chewing gum would enable manufacturers </w:t>
      </w:r>
      <w:r w:rsidR="00974009">
        <w:t xml:space="preserve">and importers to sell </w:t>
      </w:r>
      <w:r w:rsidR="000420CB">
        <w:t xml:space="preserve">chewing gum </w:t>
      </w:r>
      <w:r w:rsidR="00974009">
        <w:t xml:space="preserve">in Australia and New Zealand </w:t>
      </w:r>
      <w:r w:rsidR="000420CB">
        <w:t xml:space="preserve">with taste profiles which are </w:t>
      </w:r>
      <w:r w:rsidR="00D8361E">
        <w:t xml:space="preserve">matched </w:t>
      </w:r>
      <w:r w:rsidR="000420CB">
        <w:t xml:space="preserve">with those </w:t>
      </w:r>
      <w:r w:rsidR="00D8361E">
        <w:t xml:space="preserve">currently </w:t>
      </w:r>
      <w:r w:rsidR="000420CB">
        <w:t xml:space="preserve">available in overseas markets. </w:t>
      </w:r>
    </w:p>
    <w:p w14:paraId="32E2688C" w14:textId="77777777" w:rsidR="000A0899" w:rsidRDefault="000A0899" w:rsidP="000A0899"/>
    <w:p w14:paraId="32D19EA6" w14:textId="02A939F0" w:rsidR="000A0899" w:rsidRDefault="000A0899" w:rsidP="000A0899">
      <w:r>
        <w:t xml:space="preserve">The draft variation would provide consistency with international regulations and trading partners, and </w:t>
      </w:r>
      <w:r w:rsidRPr="00AA26C8">
        <w:t>facilitate the production</w:t>
      </w:r>
      <w:r>
        <w:t xml:space="preserve"> and </w:t>
      </w:r>
      <w:r w:rsidRPr="00AA26C8">
        <w:t xml:space="preserve">importation of </w:t>
      </w:r>
      <w:r w:rsidR="000420CB">
        <w:t>currently prohibited chewing gum products</w:t>
      </w:r>
      <w:r>
        <w:t xml:space="preserve"> in Australia and New Zealand.  </w:t>
      </w:r>
    </w:p>
    <w:p w14:paraId="658A84AA" w14:textId="77777777" w:rsidR="00AB0275" w:rsidRDefault="00AB0275" w:rsidP="00AB0275">
      <w:pPr>
        <w:rPr>
          <w:lang w:val="en-AU" w:eastAsia="en-GB" w:bidi="ar-SA"/>
        </w:rPr>
      </w:pPr>
    </w:p>
    <w:p w14:paraId="658A84AB"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58A84AC" w14:textId="77777777" w:rsidR="00AB0275" w:rsidRDefault="00AB0275" w:rsidP="00AB0275">
      <w:pPr>
        <w:rPr>
          <w:lang w:val="en-AU" w:eastAsia="en-GB" w:bidi="ar-SA"/>
        </w:rPr>
      </w:pPr>
    </w:p>
    <w:p w14:paraId="658A84AD"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58A84AE" w14:textId="77777777" w:rsidR="00AB0275" w:rsidRDefault="00AB0275" w:rsidP="00AB0275">
      <w:pPr>
        <w:rPr>
          <w:lang w:val="en-AU" w:eastAsia="en-GB" w:bidi="ar-SA"/>
        </w:rPr>
      </w:pPr>
    </w:p>
    <w:p w14:paraId="658A84AF"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658A84B0" w14:textId="77777777" w:rsidR="00AB0275" w:rsidRDefault="00AB0275" w:rsidP="00AB0275">
      <w:pPr>
        <w:rPr>
          <w:lang w:val="en-AU" w:eastAsia="en-GB" w:bidi="ar-SA"/>
        </w:rPr>
      </w:pPr>
    </w:p>
    <w:p w14:paraId="658A84B1" w14:textId="2BC07EB7" w:rsidR="00AB0275" w:rsidRPr="000A0899" w:rsidRDefault="00AB0275" w:rsidP="00AB0275">
      <w:pPr>
        <w:rPr>
          <w:lang w:val="en-AU"/>
        </w:rPr>
      </w:pPr>
      <w:r w:rsidRPr="000A0899">
        <w:rPr>
          <w:szCs w:val="22"/>
        </w:rPr>
        <w:t xml:space="preserve">In accordance with the procedure in Division </w:t>
      </w:r>
      <w:r w:rsidR="00F56EDD" w:rsidRPr="000A0899">
        <w:rPr>
          <w:szCs w:val="22"/>
        </w:rPr>
        <w:t>1</w:t>
      </w:r>
      <w:r w:rsidRPr="000A0899">
        <w:rPr>
          <w:szCs w:val="22"/>
        </w:rPr>
        <w:t xml:space="preserve"> of Part </w:t>
      </w:r>
      <w:r w:rsidR="00F56EDD" w:rsidRPr="000A0899">
        <w:rPr>
          <w:szCs w:val="22"/>
        </w:rPr>
        <w:t>3</w:t>
      </w:r>
      <w:r w:rsidRPr="000A0899">
        <w:rPr>
          <w:szCs w:val="22"/>
        </w:rPr>
        <w:t xml:space="preserve"> of the FSANZ Act, </w:t>
      </w:r>
      <w:r w:rsidRPr="000A0899">
        <w:rPr>
          <w:rFonts w:eastAsia="Calibri" w:cs="Arial"/>
          <w:bCs/>
          <w:szCs w:val="22"/>
          <w:lang w:val="en-AU" w:bidi="ar-SA"/>
        </w:rPr>
        <w:t>the Authority</w:t>
      </w:r>
      <w:r w:rsidRPr="000A0899">
        <w:rPr>
          <w:szCs w:val="22"/>
        </w:rPr>
        <w:t xml:space="preserve">’s consideration of </w:t>
      </w:r>
      <w:r w:rsidR="005F37D1" w:rsidRPr="000A0899">
        <w:rPr>
          <w:szCs w:val="22"/>
        </w:rPr>
        <w:t>Application</w:t>
      </w:r>
      <w:r w:rsidRPr="000A0899">
        <w:rPr>
          <w:szCs w:val="22"/>
        </w:rPr>
        <w:t xml:space="preserve"> </w:t>
      </w:r>
      <w:r w:rsidR="005F37D1" w:rsidRPr="000A0899">
        <w:rPr>
          <w:szCs w:val="22"/>
        </w:rPr>
        <w:t>A1100</w:t>
      </w:r>
      <w:r w:rsidRPr="000A0899">
        <w:rPr>
          <w:szCs w:val="22"/>
        </w:rPr>
        <w:t xml:space="preserve"> will include one round of public consultation following an assessment and the preparation of a draft Standard and associated report</w:t>
      </w:r>
      <w:r w:rsidR="005F37D1" w:rsidRPr="000A0899">
        <w:rPr>
          <w:szCs w:val="22"/>
        </w:rPr>
        <w:t xml:space="preserve">. </w:t>
      </w:r>
      <w:r w:rsidRPr="000A0899">
        <w:rPr>
          <w:szCs w:val="22"/>
        </w:rPr>
        <w:t xml:space="preserve"> </w:t>
      </w:r>
    </w:p>
    <w:p w14:paraId="658A84B2" w14:textId="77777777" w:rsidR="00AB0275" w:rsidRPr="000A0899" w:rsidRDefault="00AB0275" w:rsidP="00AB0275"/>
    <w:p w14:paraId="658A84B5" w14:textId="0EC059EC" w:rsidR="00AB0275" w:rsidRPr="000A0899" w:rsidRDefault="00AB0275" w:rsidP="00AB0275">
      <w:pPr>
        <w:widowControl/>
        <w:autoSpaceDE w:val="0"/>
        <w:autoSpaceDN w:val="0"/>
        <w:adjustRightInd w:val="0"/>
        <w:rPr>
          <w:rFonts w:cs="Arial"/>
          <w:szCs w:val="22"/>
        </w:rPr>
      </w:pPr>
      <w:r w:rsidRPr="000A0899">
        <w:rPr>
          <w:rFonts w:eastAsia="Calibri" w:cs="Arial"/>
          <w:bCs/>
          <w:szCs w:val="22"/>
          <w:lang w:val="en-AU" w:bidi="ar-SA"/>
        </w:rPr>
        <w:t>A Regulation Impact Statement was not required</w:t>
      </w:r>
      <w:r w:rsidR="00D8361E">
        <w:rPr>
          <w:rFonts w:eastAsia="Calibri" w:cs="Arial"/>
          <w:bCs/>
          <w:szCs w:val="22"/>
          <w:lang w:val="en-AU" w:bidi="ar-SA"/>
        </w:rPr>
        <w:t xml:space="preserve"> because the proposed </w:t>
      </w:r>
      <w:r w:rsidR="00974009">
        <w:rPr>
          <w:rFonts w:eastAsia="Calibri" w:cs="Arial"/>
          <w:bCs/>
          <w:szCs w:val="22"/>
          <w:lang w:val="en-AU" w:bidi="ar-SA"/>
        </w:rPr>
        <w:t>variation</w:t>
      </w:r>
      <w:r w:rsidR="00974009" w:rsidRPr="000A0899">
        <w:rPr>
          <w:rFonts w:eastAsia="Calibri" w:cs="Arial"/>
          <w:bCs/>
          <w:szCs w:val="22"/>
          <w:lang w:val="en-AU" w:bidi="ar-SA"/>
        </w:rPr>
        <w:t xml:space="preserve"> to </w:t>
      </w:r>
      <w:r w:rsidR="00974009" w:rsidRPr="00F83A2A">
        <w:t>S</w:t>
      </w:r>
      <w:r w:rsidR="00974009">
        <w:t xml:space="preserve">15–5 </w:t>
      </w:r>
      <w:r w:rsidR="00974009" w:rsidRPr="000A0899">
        <w:t>is</w:t>
      </w:r>
      <w:r w:rsidRPr="000A0899">
        <w:t xml:space="preserve"> likely to have a minor impact on business and individuals. </w:t>
      </w:r>
    </w:p>
    <w:p w14:paraId="658A84B6" w14:textId="77777777" w:rsidR="00AB0275" w:rsidRDefault="00AB0275" w:rsidP="00AB0275">
      <w:pPr>
        <w:widowControl/>
        <w:rPr>
          <w:rFonts w:eastAsiaTheme="minorHAnsi" w:cs="Arial"/>
          <w:b/>
          <w:bCs/>
          <w:szCs w:val="22"/>
          <w:lang w:val="en-AU" w:bidi="ar-SA"/>
        </w:rPr>
      </w:pPr>
    </w:p>
    <w:p w14:paraId="658A84B7"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58A84B8" w14:textId="77777777" w:rsidR="00AB0275" w:rsidRDefault="00AB0275" w:rsidP="00AB0275">
      <w:pPr>
        <w:rPr>
          <w:rFonts w:eastAsiaTheme="minorHAnsi"/>
          <w:lang w:val="en-AU" w:bidi="ar-SA"/>
        </w:rPr>
      </w:pPr>
    </w:p>
    <w:p w14:paraId="658A84B9"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58A84BA" w14:textId="77777777" w:rsidR="00AB0275" w:rsidRDefault="00AB0275" w:rsidP="00AB0275">
      <w:pPr>
        <w:rPr>
          <w:rFonts w:eastAsiaTheme="minorHAnsi"/>
          <w:lang w:val="en-AU" w:bidi="ar-SA"/>
        </w:rPr>
      </w:pPr>
    </w:p>
    <w:p w14:paraId="658A84BB"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658A84BC" w14:textId="77777777" w:rsidR="00AB0275" w:rsidRPr="00AD344F" w:rsidRDefault="00AB0275" w:rsidP="00AB0275">
      <w:pPr>
        <w:rPr>
          <w:b/>
        </w:rPr>
      </w:pPr>
    </w:p>
    <w:p w14:paraId="1760DA43" w14:textId="144EA363" w:rsidR="000420CB" w:rsidRDefault="000420CB" w:rsidP="000420CB">
      <w:pPr>
        <w:pStyle w:val="Subclause"/>
        <w:rPr>
          <w:rFonts w:eastAsiaTheme="minorHAnsi"/>
          <w:sz w:val="22"/>
          <w:szCs w:val="24"/>
          <w:lang w:val="en-AU" w:bidi="ar-SA"/>
        </w:rPr>
      </w:pPr>
      <w:r w:rsidRPr="00BD3997">
        <w:rPr>
          <w:rFonts w:eastAsiaTheme="minorHAnsi"/>
          <w:sz w:val="22"/>
          <w:szCs w:val="22"/>
          <w:lang w:val="en-AU" w:bidi="ar-SA"/>
        </w:rPr>
        <w:t xml:space="preserve">Item 1 of the draft variation amends </w:t>
      </w:r>
      <w:r w:rsidR="00BD3997" w:rsidRPr="00BD3997">
        <w:rPr>
          <w:rFonts w:eastAsiaTheme="minorHAnsi"/>
          <w:sz w:val="22"/>
          <w:szCs w:val="22"/>
          <w:lang w:val="en-AU" w:bidi="ar-SA"/>
        </w:rPr>
        <w:t xml:space="preserve">the table to </w:t>
      </w:r>
      <w:r w:rsidR="00BD3997" w:rsidRPr="00C61BFA">
        <w:rPr>
          <w:sz w:val="22"/>
          <w:szCs w:val="22"/>
        </w:rPr>
        <w:t xml:space="preserve">section </w:t>
      </w:r>
      <w:r w:rsidR="00974009" w:rsidRPr="00C61BFA">
        <w:rPr>
          <w:sz w:val="22"/>
          <w:szCs w:val="22"/>
        </w:rPr>
        <w:t xml:space="preserve">5 </w:t>
      </w:r>
      <w:r w:rsidR="00BD3997" w:rsidRPr="00C61BFA">
        <w:rPr>
          <w:sz w:val="22"/>
          <w:szCs w:val="22"/>
        </w:rPr>
        <w:t xml:space="preserve">in Schedule 15 </w:t>
      </w:r>
      <w:r w:rsidRPr="00BD3997">
        <w:rPr>
          <w:rFonts w:eastAsiaTheme="minorHAnsi"/>
          <w:sz w:val="22"/>
          <w:szCs w:val="22"/>
          <w:lang w:val="en-AU" w:bidi="ar-SA"/>
        </w:rPr>
        <w:t>Food Additives by</w:t>
      </w:r>
      <w:r>
        <w:rPr>
          <w:rFonts w:eastAsiaTheme="minorHAnsi"/>
          <w:sz w:val="22"/>
          <w:szCs w:val="24"/>
          <w:lang w:val="en-AU" w:bidi="ar-SA"/>
        </w:rPr>
        <w:t xml:space="preserve"> inserting a MPL of 5000 mg/kg for Ace K (INS number 950) in </w:t>
      </w:r>
      <w:r w:rsidR="00D8361E">
        <w:rPr>
          <w:rFonts w:eastAsiaTheme="minorHAnsi"/>
          <w:sz w:val="22"/>
          <w:szCs w:val="24"/>
          <w:lang w:val="en-AU" w:bidi="ar-SA"/>
        </w:rPr>
        <w:t xml:space="preserve">bubble and </w:t>
      </w:r>
      <w:r>
        <w:rPr>
          <w:rFonts w:eastAsiaTheme="minorHAnsi"/>
          <w:sz w:val="22"/>
          <w:szCs w:val="24"/>
          <w:lang w:val="en-AU" w:bidi="ar-SA"/>
        </w:rPr>
        <w:t>chewing gum</w:t>
      </w:r>
      <w:r w:rsidR="00D8361E">
        <w:rPr>
          <w:rFonts w:eastAsiaTheme="minorHAnsi"/>
          <w:sz w:val="22"/>
          <w:szCs w:val="24"/>
          <w:lang w:val="en-AU" w:bidi="ar-SA"/>
        </w:rPr>
        <w:t>.</w:t>
      </w:r>
    </w:p>
    <w:p w14:paraId="79A1EACB" w14:textId="1E963EF8" w:rsidR="00910A30" w:rsidRDefault="00910A30" w:rsidP="000420CB">
      <w:pPr>
        <w:pStyle w:val="Subclause"/>
        <w:rPr>
          <w:rFonts w:eastAsiaTheme="minorHAnsi"/>
          <w:sz w:val="22"/>
          <w:szCs w:val="24"/>
          <w:lang w:val="en-AU" w:bidi="ar-SA"/>
        </w:rPr>
      </w:pPr>
      <w:r>
        <w:rPr>
          <w:rFonts w:eastAsiaTheme="minorHAnsi"/>
          <w:sz w:val="22"/>
          <w:szCs w:val="24"/>
          <w:lang w:val="en-AU" w:bidi="ar-SA"/>
        </w:rPr>
        <w:br w:type="page"/>
      </w:r>
    </w:p>
    <w:p w14:paraId="53B95F43" w14:textId="5E0AEA25" w:rsidR="000420CB" w:rsidRPr="007137EC" w:rsidRDefault="000420CB" w:rsidP="000420CB">
      <w:pPr>
        <w:pStyle w:val="Subclause"/>
        <w:rPr>
          <w:rFonts w:eastAsiaTheme="minorHAnsi"/>
          <w:sz w:val="22"/>
          <w:szCs w:val="24"/>
          <w:lang w:val="en-AU" w:bidi="ar-SA"/>
        </w:rPr>
      </w:pPr>
      <w:r>
        <w:rPr>
          <w:rFonts w:eastAsiaTheme="minorHAnsi"/>
          <w:sz w:val="22"/>
          <w:szCs w:val="24"/>
          <w:lang w:val="en-AU" w:bidi="ar-SA"/>
        </w:rPr>
        <w:lastRenderedPageBreak/>
        <w:t xml:space="preserve">The draft variation </w:t>
      </w:r>
      <w:r w:rsidR="004A5225">
        <w:rPr>
          <w:rFonts w:eastAsiaTheme="minorHAnsi"/>
          <w:sz w:val="22"/>
          <w:szCs w:val="24"/>
          <w:lang w:val="en-AU" w:bidi="ar-SA"/>
        </w:rPr>
        <w:t>is intended to take effect</w:t>
      </w:r>
      <w:r>
        <w:rPr>
          <w:rFonts w:eastAsiaTheme="minorHAnsi"/>
          <w:sz w:val="22"/>
          <w:szCs w:val="24"/>
          <w:lang w:val="en-AU" w:bidi="ar-SA"/>
        </w:rPr>
        <w:t xml:space="preserve"> on </w:t>
      </w:r>
      <w:r w:rsidR="00D8361E">
        <w:rPr>
          <w:rFonts w:eastAsiaTheme="minorHAnsi"/>
          <w:sz w:val="22"/>
          <w:szCs w:val="24"/>
          <w:lang w:val="en-AU" w:bidi="ar-SA"/>
        </w:rPr>
        <w:t>1 March 2016,</w:t>
      </w:r>
      <w:r w:rsidR="00D8361E" w:rsidRPr="00D8361E">
        <w:t xml:space="preserve"> </w:t>
      </w:r>
      <w:r w:rsidR="00D8361E" w:rsidRPr="00D8361E">
        <w:rPr>
          <w:rFonts w:eastAsiaTheme="minorHAnsi"/>
          <w:sz w:val="22"/>
          <w:szCs w:val="24"/>
          <w:lang w:val="en-AU" w:bidi="ar-SA"/>
        </w:rPr>
        <w:t>immediately after the commencement of Standard 5.1.1 – Revocation and transitional provisions —2014 Revision.</w:t>
      </w:r>
    </w:p>
    <w:p w14:paraId="658A84C0" w14:textId="77777777" w:rsidR="00AB0275" w:rsidRDefault="00AB0275" w:rsidP="00AB0275"/>
    <w:sectPr w:rsidR="00AB0275" w:rsidSect="0063749B">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C64B9" w14:textId="77777777" w:rsidR="00FA4491" w:rsidRDefault="00FA4491">
      <w:r>
        <w:separator/>
      </w:r>
    </w:p>
  </w:endnote>
  <w:endnote w:type="continuationSeparator" w:id="0">
    <w:p w14:paraId="6D586E2F" w14:textId="77777777" w:rsidR="00FA4491" w:rsidRDefault="00FA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A85F0" w14:textId="77777777" w:rsidR="00815005" w:rsidRDefault="0081500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8A85F1" w14:textId="77777777" w:rsidR="00815005" w:rsidRDefault="00815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A85F2" w14:textId="77777777" w:rsidR="00815005" w:rsidRDefault="0081500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A30">
      <w:rPr>
        <w:rStyle w:val="PageNumber"/>
        <w:noProof/>
      </w:rPr>
      <w:t>2</w:t>
    </w:r>
    <w:r>
      <w:rPr>
        <w:rStyle w:val="PageNumber"/>
      </w:rPr>
      <w:fldChar w:fldCharType="end"/>
    </w:r>
  </w:p>
  <w:p w14:paraId="658A85F3" w14:textId="77777777" w:rsidR="00815005" w:rsidRDefault="0081500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A42A3" w14:textId="77777777" w:rsidR="00FA4491" w:rsidRDefault="00FA4491">
      <w:r>
        <w:separator/>
      </w:r>
    </w:p>
  </w:footnote>
  <w:footnote w:type="continuationSeparator" w:id="0">
    <w:p w14:paraId="78B2254C" w14:textId="77777777" w:rsidR="00FA4491" w:rsidRDefault="00FA4491">
      <w:r>
        <w:continuationSeparator/>
      </w:r>
    </w:p>
  </w:footnote>
  <w:footnote w:id="1">
    <w:p w14:paraId="194C3EAE" w14:textId="320F0C26" w:rsidR="00815005" w:rsidRPr="00910A30" w:rsidRDefault="00815005" w:rsidP="0053502D">
      <w:pPr>
        <w:pStyle w:val="FootnoteText"/>
        <w:rPr>
          <w:sz w:val="18"/>
          <w:szCs w:val="18"/>
          <w:lang w:val="en-AU"/>
        </w:rPr>
      </w:pPr>
      <w:r w:rsidRPr="00910A30">
        <w:rPr>
          <w:rStyle w:val="FootnoteReference"/>
          <w:sz w:val="18"/>
          <w:szCs w:val="18"/>
        </w:rPr>
        <w:footnoteRef/>
      </w:r>
      <w:r w:rsidRPr="00910A30">
        <w:rPr>
          <w:sz w:val="18"/>
          <w:szCs w:val="18"/>
        </w:rPr>
        <w:t xml:space="preserve"> </w:t>
      </w:r>
      <w:hyperlink r:id="rId1" w:history="1">
        <w:r w:rsidRPr="00910A30">
          <w:rPr>
            <w:color w:val="3333FF"/>
            <w:sz w:val="18"/>
            <w:szCs w:val="18"/>
            <w:u w:val="single"/>
          </w:rPr>
          <w:t>http://www.foodstandards.gov.au/code/Pages/Revised-code-list-of-standards-and-schedules.aspx</w:t>
        </w:r>
      </w:hyperlink>
    </w:p>
  </w:footnote>
  <w:footnote w:id="2">
    <w:p w14:paraId="16BC0A83" w14:textId="5181ED3F" w:rsidR="00815005" w:rsidRPr="00910A30" w:rsidRDefault="00815005" w:rsidP="00910A30">
      <w:pPr>
        <w:widowControl/>
        <w:rPr>
          <w:sz w:val="18"/>
          <w:szCs w:val="18"/>
        </w:rPr>
      </w:pPr>
      <w:r w:rsidRPr="00910A30">
        <w:rPr>
          <w:rStyle w:val="FootnoteReference"/>
          <w:sz w:val="18"/>
          <w:szCs w:val="18"/>
        </w:rPr>
        <w:footnoteRef/>
      </w:r>
      <w:r w:rsidRPr="00910A30">
        <w:rPr>
          <w:sz w:val="18"/>
          <w:szCs w:val="18"/>
        </w:rPr>
        <w:t xml:space="preserve"> This principle is explained in detail in the body of this summary and in SD1. </w:t>
      </w:r>
    </w:p>
  </w:footnote>
  <w:footnote w:id="3">
    <w:p w14:paraId="581D9FBF" w14:textId="77777777" w:rsidR="00815005" w:rsidRPr="008828D9" w:rsidRDefault="00815005" w:rsidP="00CB2774">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4">
    <w:p w14:paraId="7A8C78A9" w14:textId="77777777" w:rsidR="00815005" w:rsidRPr="008828D9" w:rsidRDefault="00815005" w:rsidP="001F30F0">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14:paraId="79FDDD22" w14:textId="77777777" w:rsidR="00815005" w:rsidRPr="00791C10" w:rsidRDefault="00815005" w:rsidP="001F30F0">
      <w:pPr>
        <w:pStyle w:val="FootnoteText"/>
        <w:rPr>
          <w:sz w:val="18"/>
          <w:szCs w:val="18"/>
          <w:lang w:val="en-AU"/>
        </w:rPr>
      </w:pPr>
      <w:r w:rsidRPr="00D8289F">
        <w:rPr>
          <w:rStyle w:val="FootnoteReference"/>
          <w:sz w:val="18"/>
        </w:rPr>
        <w:footnoteRef/>
      </w:r>
      <w:r w:rsidRPr="00D8289F">
        <w:rPr>
          <w:sz w:val="18"/>
        </w:rPr>
        <w:t xml:space="preserve"> </w:t>
      </w:r>
      <w:hyperlink r:id="rId2" w:history="1">
        <w:r w:rsidRPr="00791C10">
          <w:rPr>
            <w:rStyle w:val="Hyperlink"/>
            <w:sz w:val="18"/>
            <w:szCs w:val="18"/>
          </w:rPr>
          <w:t>http://www.foodstandards.gov.au/code/fofr/fofrpolicy/pages/default.aspx</w:t>
        </w:r>
      </w:hyperlink>
      <w:r w:rsidRPr="00791C10">
        <w:rPr>
          <w:sz w:val="18"/>
          <w:szCs w:val="18"/>
        </w:rPr>
        <w:t xml:space="preserve"> </w:t>
      </w:r>
    </w:p>
  </w:footnote>
  <w:footnote w:id="6">
    <w:p w14:paraId="724EF9F1" w14:textId="77777777" w:rsidR="00815005" w:rsidRPr="0010778D" w:rsidRDefault="00815005" w:rsidP="00125430">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A85EF" w14:textId="3A73188E" w:rsidR="00815005" w:rsidRPr="006342E0" w:rsidRDefault="00815005" w:rsidP="006342E0">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A85F4" w14:textId="77777777" w:rsidR="00815005" w:rsidRDefault="0081500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C4F7F"/>
    <w:multiLevelType w:val="multilevel"/>
    <w:tmpl w:val="8FD2F7B6"/>
    <w:lvl w:ilvl="0">
      <w:start w:val="1"/>
      <w:numFmt w:val="bullet"/>
      <w:lvlText w:val=""/>
      <w:lvlJc w:val="left"/>
      <w:pPr>
        <w:ind w:left="660" w:hanging="660"/>
      </w:pPr>
      <w:rPr>
        <w:rFonts w:ascii="Symbol" w:hAnsi="Symbol" w:hint="default"/>
        <w:b/>
        <w:color w:val="000000" w:themeColor="text1"/>
        <w:u w:val="none"/>
      </w:rPr>
    </w:lvl>
    <w:lvl w:ilvl="1">
      <w:start w:val="3"/>
      <w:numFmt w:val="decimal"/>
      <w:lvlText w:val="%1.%2"/>
      <w:lvlJc w:val="left"/>
      <w:pPr>
        <w:ind w:left="660" w:hanging="660"/>
      </w:pPr>
      <w:rPr>
        <w:rFonts w:hint="default"/>
        <w:b/>
        <w:color w:val="000000" w:themeColor="text1"/>
        <w:u w:val="none"/>
      </w:rPr>
    </w:lvl>
    <w:lvl w:ilvl="2">
      <w:start w:val="1"/>
      <w:numFmt w:val="decimal"/>
      <w:lvlText w:val="%1.%2.%3"/>
      <w:lvlJc w:val="left"/>
      <w:pPr>
        <w:ind w:left="720" w:hanging="720"/>
      </w:pPr>
      <w:rPr>
        <w:rFonts w:hint="default"/>
        <w:b/>
        <w:color w:val="000000" w:themeColor="text1"/>
        <w:u w:val="none"/>
      </w:rPr>
    </w:lvl>
    <w:lvl w:ilvl="3">
      <w:start w:val="3"/>
      <w:numFmt w:val="decimal"/>
      <w:lvlText w:val="%1.%2.%3.%4"/>
      <w:lvlJc w:val="left"/>
      <w:pPr>
        <w:ind w:left="720" w:hanging="720"/>
      </w:pPr>
      <w:rPr>
        <w:rFonts w:hint="default"/>
        <w:b/>
        <w:color w:val="000000" w:themeColor="text1"/>
        <w:u w:val="none"/>
      </w:rPr>
    </w:lvl>
    <w:lvl w:ilvl="4">
      <w:start w:val="1"/>
      <w:numFmt w:val="decimal"/>
      <w:lvlText w:val="%1.%2.%3.%4.%5"/>
      <w:lvlJc w:val="left"/>
      <w:pPr>
        <w:ind w:left="1080" w:hanging="1080"/>
      </w:pPr>
      <w:rPr>
        <w:rFonts w:hint="default"/>
        <w:b/>
        <w:color w:val="000000" w:themeColor="text1"/>
        <w:u w:val="none"/>
      </w:rPr>
    </w:lvl>
    <w:lvl w:ilvl="5">
      <w:start w:val="1"/>
      <w:numFmt w:val="decimal"/>
      <w:lvlText w:val="%1.%2.%3.%4.%5.%6"/>
      <w:lvlJc w:val="left"/>
      <w:pPr>
        <w:ind w:left="1080" w:hanging="1080"/>
      </w:pPr>
      <w:rPr>
        <w:rFonts w:hint="default"/>
        <w:b/>
        <w:color w:val="000000" w:themeColor="text1"/>
        <w:u w:val="none"/>
      </w:rPr>
    </w:lvl>
    <w:lvl w:ilvl="6">
      <w:start w:val="1"/>
      <w:numFmt w:val="decimal"/>
      <w:lvlText w:val="%1.%2.%3.%4.%5.%6.%7"/>
      <w:lvlJc w:val="left"/>
      <w:pPr>
        <w:ind w:left="1440" w:hanging="1440"/>
      </w:pPr>
      <w:rPr>
        <w:rFonts w:hint="default"/>
        <w:b/>
        <w:color w:val="000000" w:themeColor="text1"/>
        <w:u w:val="none"/>
      </w:rPr>
    </w:lvl>
    <w:lvl w:ilvl="7">
      <w:start w:val="1"/>
      <w:numFmt w:val="decimal"/>
      <w:lvlText w:val="%1.%2.%3.%4.%5.%6.%7.%8"/>
      <w:lvlJc w:val="left"/>
      <w:pPr>
        <w:ind w:left="1440" w:hanging="1440"/>
      </w:pPr>
      <w:rPr>
        <w:rFonts w:hint="default"/>
        <w:b/>
        <w:color w:val="000000" w:themeColor="text1"/>
        <w:u w:val="none"/>
      </w:rPr>
    </w:lvl>
    <w:lvl w:ilvl="8">
      <w:start w:val="1"/>
      <w:numFmt w:val="decimal"/>
      <w:lvlText w:val="%1.%2.%3.%4.%5.%6.%7.%8.%9"/>
      <w:lvlJc w:val="left"/>
      <w:pPr>
        <w:ind w:left="1800" w:hanging="1800"/>
      </w:pPr>
      <w:rPr>
        <w:rFonts w:hint="default"/>
        <w:b/>
        <w:color w:val="000000" w:themeColor="text1"/>
        <w:u w:val="none"/>
      </w:rPr>
    </w:lvl>
  </w:abstractNum>
  <w:abstractNum w:abstractNumId="3">
    <w:nsid w:val="0B0F779B"/>
    <w:multiLevelType w:val="hybridMultilevel"/>
    <w:tmpl w:val="0FDAA3EA"/>
    <w:lvl w:ilvl="0" w:tplc="40404FF6">
      <w:start w:val="1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64338DA"/>
    <w:multiLevelType w:val="multilevel"/>
    <w:tmpl w:val="8FD2F7B6"/>
    <w:lvl w:ilvl="0">
      <w:start w:val="1"/>
      <w:numFmt w:val="bullet"/>
      <w:lvlText w:val=""/>
      <w:lvlJc w:val="left"/>
      <w:pPr>
        <w:ind w:left="660" w:hanging="660"/>
      </w:pPr>
      <w:rPr>
        <w:rFonts w:ascii="Symbol" w:hAnsi="Symbol" w:hint="default"/>
        <w:b/>
        <w:color w:val="000000" w:themeColor="text1"/>
        <w:u w:val="none"/>
      </w:rPr>
    </w:lvl>
    <w:lvl w:ilvl="1">
      <w:start w:val="3"/>
      <w:numFmt w:val="decimal"/>
      <w:lvlText w:val="%1.%2"/>
      <w:lvlJc w:val="left"/>
      <w:pPr>
        <w:ind w:left="660" w:hanging="660"/>
      </w:pPr>
      <w:rPr>
        <w:rFonts w:hint="default"/>
        <w:b/>
        <w:color w:val="000000" w:themeColor="text1"/>
        <w:u w:val="none"/>
      </w:rPr>
    </w:lvl>
    <w:lvl w:ilvl="2">
      <w:start w:val="1"/>
      <w:numFmt w:val="decimal"/>
      <w:lvlText w:val="%1.%2.%3"/>
      <w:lvlJc w:val="left"/>
      <w:pPr>
        <w:ind w:left="720" w:hanging="720"/>
      </w:pPr>
      <w:rPr>
        <w:rFonts w:hint="default"/>
        <w:b/>
        <w:color w:val="000000" w:themeColor="text1"/>
        <w:u w:val="none"/>
      </w:rPr>
    </w:lvl>
    <w:lvl w:ilvl="3">
      <w:start w:val="3"/>
      <w:numFmt w:val="decimal"/>
      <w:lvlText w:val="%1.%2.%3.%4"/>
      <w:lvlJc w:val="left"/>
      <w:pPr>
        <w:ind w:left="720" w:hanging="720"/>
      </w:pPr>
      <w:rPr>
        <w:rFonts w:hint="default"/>
        <w:b/>
        <w:color w:val="000000" w:themeColor="text1"/>
        <w:u w:val="none"/>
      </w:rPr>
    </w:lvl>
    <w:lvl w:ilvl="4">
      <w:start w:val="1"/>
      <w:numFmt w:val="decimal"/>
      <w:lvlText w:val="%1.%2.%3.%4.%5"/>
      <w:lvlJc w:val="left"/>
      <w:pPr>
        <w:ind w:left="1080" w:hanging="1080"/>
      </w:pPr>
      <w:rPr>
        <w:rFonts w:hint="default"/>
        <w:b/>
        <w:color w:val="000000" w:themeColor="text1"/>
        <w:u w:val="none"/>
      </w:rPr>
    </w:lvl>
    <w:lvl w:ilvl="5">
      <w:start w:val="1"/>
      <w:numFmt w:val="decimal"/>
      <w:lvlText w:val="%1.%2.%3.%4.%5.%6"/>
      <w:lvlJc w:val="left"/>
      <w:pPr>
        <w:ind w:left="1080" w:hanging="1080"/>
      </w:pPr>
      <w:rPr>
        <w:rFonts w:hint="default"/>
        <w:b/>
        <w:color w:val="000000" w:themeColor="text1"/>
        <w:u w:val="none"/>
      </w:rPr>
    </w:lvl>
    <w:lvl w:ilvl="6">
      <w:start w:val="1"/>
      <w:numFmt w:val="decimal"/>
      <w:lvlText w:val="%1.%2.%3.%4.%5.%6.%7"/>
      <w:lvlJc w:val="left"/>
      <w:pPr>
        <w:ind w:left="1440" w:hanging="1440"/>
      </w:pPr>
      <w:rPr>
        <w:rFonts w:hint="default"/>
        <w:b/>
        <w:color w:val="000000" w:themeColor="text1"/>
        <w:u w:val="none"/>
      </w:rPr>
    </w:lvl>
    <w:lvl w:ilvl="7">
      <w:start w:val="1"/>
      <w:numFmt w:val="decimal"/>
      <w:lvlText w:val="%1.%2.%3.%4.%5.%6.%7.%8"/>
      <w:lvlJc w:val="left"/>
      <w:pPr>
        <w:ind w:left="1440" w:hanging="1440"/>
      </w:pPr>
      <w:rPr>
        <w:rFonts w:hint="default"/>
        <w:b/>
        <w:color w:val="000000" w:themeColor="text1"/>
        <w:u w:val="none"/>
      </w:rPr>
    </w:lvl>
    <w:lvl w:ilvl="8">
      <w:start w:val="1"/>
      <w:numFmt w:val="decimal"/>
      <w:lvlText w:val="%1.%2.%3.%4.%5.%6.%7.%8.%9"/>
      <w:lvlJc w:val="left"/>
      <w:pPr>
        <w:ind w:left="1800" w:hanging="1800"/>
      </w:pPr>
      <w:rPr>
        <w:rFonts w:hint="default"/>
        <w:b/>
        <w:color w:val="000000" w:themeColor="text1"/>
        <w:u w:val="none"/>
      </w:rPr>
    </w:lvl>
  </w:abstractNum>
  <w:abstractNum w:abstractNumId="5">
    <w:nsid w:val="1CDC6A2D"/>
    <w:multiLevelType w:val="hybridMultilevel"/>
    <w:tmpl w:val="4B64BD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7354F84"/>
    <w:multiLevelType w:val="multilevel"/>
    <w:tmpl w:val="7CBA6AC8"/>
    <w:lvl w:ilvl="0">
      <w:start w:val="1"/>
      <w:numFmt w:val="decimal"/>
      <w:lvlText w:val="%1"/>
      <w:lvlJc w:val="left"/>
      <w:pPr>
        <w:ind w:left="660" w:hanging="660"/>
      </w:pPr>
      <w:rPr>
        <w:rFonts w:hint="default"/>
        <w:b/>
        <w:color w:val="000000" w:themeColor="text1"/>
        <w:u w:val="none"/>
      </w:rPr>
    </w:lvl>
    <w:lvl w:ilvl="1">
      <w:start w:val="3"/>
      <w:numFmt w:val="decimal"/>
      <w:lvlText w:val="%1.%2"/>
      <w:lvlJc w:val="left"/>
      <w:pPr>
        <w:ind w:left="660" w:hanging="660"/>
      </w:pPr>
      <w:rPr>
        <w:rFonts w:hint="default"/>
        <w:b/>
        <w:color w:val="000000" w:themeColor="text1"/>
        <w:u w:val="none"/>
      </w:rPr>
    </w:lvl>
    <w:lvl w:ilvl="2">
      <w:start w:val="1"/>
      <w:numFmt w:val="decimal"/>
      <w:lvlText w:val="%1.%2.%3"/>
      <w:lvlJc w:val="left"/>
      <w:pPr>
        <w:ind w:left="720" w:hanging="720"/>
      </w:pPr>
      <w:rPr>
        <w:rFonts w:hint="default"/>
        <w:b/>
        <w:color w:val="000000" w:themeColor="text1"/>
        <w:u w:val="none"/>
      </w:rPr>
    </w:lvl>
    <w:lvl w:ilvl="3">
      <w:start w:val="3"/>
      <w:numFmt w:val="decimal"/>
      <w:lvlText w:val="%1.%2.%3.%4"/>
      <w:lvlJc w:val="left"/>
      <w:pPr>
        <w:ind w:left="720" w:hanging="720"/>
      </w:pPr>
      <w:rPr>
        <w:rFonts w:hint="default"/>
        <w:b/>
        <w:color w:val="000000" w:themeColor="text1"/>
        <w:u w:val="none"/>
      </w:rPr>
    </w:lvl>
    <w:lvl w:ilvl="4">
      <w:start w:val="1"/>
      <w:numFmt w:val="decimal"/>
      <w:lvlText w:val="%1.%2.%3.%4.%5"/>
      <w:lvlJc w:val="left"/>
      <w:pPr>
        <w:ind w:left="1080" w:hanging="1080"/>
      </w:pPr>
      <w:rPr>
        <w:rFonts w:hint="default"/>
        <w:b/>
        <w:color w:val="000000" w:themeColor="text1"/>
        <w:u w:val="none"/>
      </w:rPr>
    </w:lvl>
    <w:lvl w:ilvl="5">
      <w:start w:val="1"/>
      <w:numFmt w:val="decimal"/>
      <w:lvlText w:val="%1.%2.%3.%4.%5.%6"/>
      <w:lvlJc w:val="left"/>
      <w:pPr>
        <w:ind w:left="1080" w:hanging="1080"/>
      </w:pPr>
      <w:rPr>
        <w:rFonts w:hint="default"/>
        <w:b/>
        <w:color w:val="000000" w:themeColor="text1"/>
        <w:u w:val="none"/>
      </w:rPr>
    </w:lvl>
    <w:lvl w:ilvl="6">
      <w:start w:val="1"/>
      <w:numFmt w:val="decimal"/>
      <w:lvlText w:val="%1.%2.%3.%4.%5.%6.%7"/>
      <w:lvlJc w:val="left"/>
      <w:pPr>
        <w:ind w:left="1440" w:hanging="1440"/>
      </w:pPr>
      <w:rPr>
        <w:rFonts w:hint="default"/>
        <w:b/>
        <w:color w:val="000000" w:themeColor="text1"/>
        <w:u w:val="none"/>
      </w:rPr>
    </w:lvl>
    <w:lvl w:ilvl="7">
      <w:start w:val="1"/>
      <w:numFmt w:val="decimal"/>
      <w:lvlText w:val="%1.%2.%3.%4.%5.%6.%7.%8"/>
      <w:lvlJc w:val="left"/>
      <w:pPr>
        <w:ind w:left="1440" w:hanging="1440"/>
      </w:pPr>
      <w:rPr>
        <w:rFonts w:hint="default"/>
        <w:b/>
        <w:color w:val="000000" w:themeColor="text1"/>
        <w:u w:val="none"/>
      </w:rPr>
    </w:lvl>
    <w:lvl w:ilvl="8">
      <w:start w:val="1"/>
      <w:numFmt w:val="decimal"/>
      <w:lvlText w:val="%1.%2.%3.%4.%5.%6.%7.%8.%9"/>
      <w:lvlJc w:val="left"/>
      <w:pPr>
        <w:ind w:left="1800" w:hanging="1800"/>
      </w:pPr>
      <w:rPr>
        <w:rFonts w:hint="default"/>
        <w:b/>
        <w:color w:val="000000" w:themeColor="text1"/>
        <w:u w:val="none"/>
      </w:r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nsid w:val="7D353E46"/>
    <w:multiLevelType w:val="multilevel"/>
    <w:tmpl w:val="76AC252E"/>
    <w:lvl w:ilvl="0">
      <w:start w:val="1"/>
      <w:numFmt w:val="decimal"/>
      <w:lvlText w:val="%1"/>
      <w:lvlJc w:val="left"/>
      <w:pPr>
        <w:ind w:left="660" w:hanging="660"/>
      </w:pPr>
      <w:rPr>
        <w:rFonts w:hint="default"/>
        <w:b/>
        <w:color w:val="000000" w:themeColor="text1"/>
        <w:u w:val="none"/>
      </w:rPr>
    </w:lvl>
    <w:lvl w:ilvl="1">
      <w:start w:val="3"/>
      <w:numFmt w:val="decimal"/>
      <w:lvlText w:val="%1.%2"/>
      <w:lvlJc w:val="left"/>
      <w:pPr>
        <w:ind w:left="660" w:hanging="660"/>
      </w:pPr>
      <w:rPr>
        <w:rFonts w:hint="default"/>
        <w:b/>
        <w:color w:val="000000" w:themeColor="text1"/>
        <w:u w:val="none"/>
      </w:rPr>
    </w:lvl>
    <w:lvl w:ilvl="2">
      <w:start w:val="1"/>
      <w:numFmt w:val="decimal"/>
      <w:lvlText w:val="%1.%2.%3"/>
      <w:lvlJc w:val="left"/>
      <w:pPr>
        <w:ind w:left="720" w:hanging="720"/>
      </w:pPr>
      <w:rPr>
        <w:rFonts w:hint="default"/>
        <w:b/>
        <w:color w:val="000000" w:themeColor="text1"/>
        <w:u w:val="none"/>
      </w:rPr>
    </w:lvl>
    <w:lvl w:ilvl="3">
      <w:start w:val="3"/>
      <w:numFmt w:val="decimal"/>
      <w:lvlText w:val="%1.%2.%3.%4"/>
      <w:lvlJc w:val="left"/>
      <w:pPr>
        <w:ind w:left="720" w:hanging="720"/>
      </w:pPr>
      <w:rPr>
        <w:rFonts w:hint="default"/>
        <w:b/>
        <w:color w:val="000000" w:themeColor="text1"/>
        <w:u w:val="none"/>
      </w:rPr>
    </w:lvl>
    <w:lvl w:ilvl="4">
      <w:start w:val="1"/>
      <w:numFmt w:val="decimal"/>
      <w:lvlText w:val="%1.%2.%3.%4.%5"/>
      <w:lvlJc w:val="left"/>
      <w:pPr>
        <w:ind w:left="1080" w:hanging="1080"/>
      </w:pPr>
      <w:rPr>
        <w:rFonts w:hint="default"/>
        <w:b/>
        <w:color w:val="000000" w:themeColor="text1"/>
        <w:u w:val="none"/>
      </w:rPr>
    </w:lvl>
    <w:lvl w:ilvl="5">
      <w:start w:val="1"/>
      <w:numFmt w:val="decimal"/>
      <w:lvlText w:val="%1.%2.%3.%4.%5.%6"/>
      <w:lvlJc w:val="left"/>
      <w:pPr>
        <w:ind w:left="1080" w:hanging="1080"/>
      </w:pPr>
      <w:rPr>
        <w:rFonts w:hint="default"/>
        <w:b/>
        <w:color w:val="000000" w:themeColor="text1"/>
        <w:u w:val="none"/>
      </w:rPr>
    </w:lvl>
    <w:lvl w:ilvl="6">
      <w:start w:val="1"/>
      <w:numFmt w:val="decimal"/>
      <w:lvlText w:val="%1.%2.%3.%4.%5.%6.%7"/>
      <w:lvlJc w:val="left"/>
      <w:pPr>
        <w:ind w:left="1440" w:hanging="1440"/>
      </w:pPr>
      <w:rPr>
        <w:rFonts w:hint="default"/>
        <w:b/>
        <w:color w:val="000000" w:themeColor="text1"/>
        <w:u w:val="none"/>
      </w:rPr>
    </w:lvl>
    <w:lvl w:ilvl="7">
      <w:start w:val="1"/>
      <w:numFmt w:val="decimal"/>
      <w:lvlText w:val="%1.%2.%3.%4.%5.%6.%7.%8"/>
      <w:lvlJc w:val="left"/>
      <w:pPr>
        <w:ind w:left="1440" w:hanging="1440"/>
      </w:pPr>
      <w:rPr>
        <w:rFonts w:hint="default"/>
        <w:b/>
        <w:color w:val="000000" w:themeColor="text1"/>
        <w:u w:val="none"/>
      </w:rPr>
    </w:lvl>
    <w:lvl w:ilvl="8">
      <w:start w:val="1"/>
      <w:numFmt w:val="decimal"/>
      <w:lvlText w:val="%1.%2.%3.%4.%5.%6.%7.%8.%9"/>
      <w:lvlJc w:val="left"/>
      <w:pPr>
        <w:ind w:left="1800" w:hanging="1800"/>
      </w:pPr>
      <w:rPr>
        <w:rFonts w:hint="default"/>
        <w:b/>
        <w:color w:val="000000" w:themeColor="text1"/>
        <w:u w:val="none"/>
      </w:rPr>
    </w:lvl>
  </w:abstractNum>
  <w:num w:numId="1">
    <w:abstractNumId w:val="1"/>
  </w:num>
  <w:num w:numId="2">
    <w:abstractNumId w:val="9"/>
  </w:num>
  <w:num w:numId="3">
    <w:abstractNumId w:val="0"/>
  </w:num>
  <w:num w:numId="4">
    <w:abstractNumId w:val="1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3"/>
  </w:num>
  <w:num w:numId="9">
    <w:abstractNumId w:val="5"/>
  </w:num>
  <w:num w:numId="10">
    <w:abstractNumId w:val="12"/>
  </w:num>
  <w:num w:numId="11">
    <w:abstractNumId w:val="2"/>
  </w:num>
  <w:num w:numId="12">
    <w:abstractNumId w:val="4"/>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5C0D"/>
    <w:rsid w:val="00016CB6"/>
    <w:rsid w:val="00017394"/>
    <w:rsid w:val="00020C4E"/>
    <w:rsid w:val="00022DBC"/>
    <w:rsid w:val="00034F87"/>
    <w:rsid w:val="00035FF3"/>
    <w:rsid w:val="000367CE"/>
    <w:rsid w:val="000420CB"/>
    <w:rsid w:val="000427B2"/>
    <w:rsid w:val="000445E5"/>
    <w:rsid w:val="00045279"/>
    <w:rsid w:val="00051021"/>
    <w:rsid w:val="00051ED9"/>
    <w:rsid w:val="00055421"/>
    <w:rsid w:val="00056815"/>
    <w:rsid w:val="00057181"/>
    <w:rsid w:val="00064B2D"/>
    <w:rsid w:val="00065F1F"/>
    <w:rsid w:val="0007466A"/>
    <w:rsid w:val="00076D33"/>
    <w:rsid w:val="00077230"/>
    <w:rsid w:val="000778D6"/>
    <w:rsid w:val="00082D7D"/>
    <w:rsid w:val="00084D08"/>
    <w:rsid w:val="000865AC"/>
    <w:rsid w:val="00091CC2"/>
    <w:rsid w:val="000A0899"/>
    <w:rsid w:val="000A12A5"/>
    <w:rsid w:val="000A24F0"/>
    <w:rsid w:val="000A27E9"/>
    <w:rsid w:val="000A3D8B"/>
    <w:rsid w:val="000A5DF8"/>
    <w:rsid w:val="000A5E83"/>
    <w:rsid w:val="000B4545"/>
    <w:rsid w:val="000B6AF2"/>
    <w:rsid w:val="000C2F12"/>
    <w:rsid w:val="000D295F"/>
    <w:rsid w:val="000D6FD4"/>
    <w:rsid w:val="000E0AE4"/>
    <w:rsid w:val="000E3DBC"/>
    <w:rsid w:val="000F00BF"/>
    <w:rsid w:val="00100D4A"/>
    <w:rsid w:val="0010321D"/>
    <w:rsid w:val="00113CE3"/>
    <w:rsid w:val="0011725B"/>
    <w:rsid w:val="00117522"/>
    <w:rsid w:val="00125430"/>
    <w:rsid w:val="001270CE"/>
    <w:rsid w:val="001303B4"/>
    <w:rsid w:val="00132559"/>
    <w:rsid w:val="0013402E"/>
    <w:rsid w:val="00134FF4"/>
    <w:rsid w:val="00135AD7"/>
    <w:rsid w:val="00144844"/>
    <w:rsid w:val="001542D8"/>
    <w:rsid w:val="001543C5"/>
    <w:rsid w:val="00167F4D"/>
    <w:rsid w:val="0018039C"/>
    <w:rsid w:val="00180C41"/>
    <w:rsid w:val="001816DB"/>
    <w:rsid w:val="001818FB"/>
    <w:rsid w:val="00181B6D"/>
    <w:rsid w:val="00182C4C"/>
    <w:rsid w:val="00184101"/>
    <w:rsid w:val="001847AE"/>
    <w:rsid w:val="0018773F"/>
    <w:rsid w:val="00194425"/>
    <w:rsid w:val="00197D8D"/>
    <w:rsid w:val="001A1A75"/>
    <w:rsid w:val="001A5FC7"/>
    <w:rsid w:val="001A7E9A"/>
    <w:rsid w:val="001B04EC"/>
    <w:rsid w:val="001B2EB6"/>
    <w:rsid w:val="001C04D4"/>
    <w:rsid w:val="001C27A3"/>
    <w:rsid w:val="001C282C"/>
    <w:rsid w:val="001C3D2F"/>
    <w:rsid w:val="001C4AAD"/>
    <w:rsid w:val="001C5295"/>
    <w:rsid w:val="001D331A"/>
    <w:rsid w:val="001D5CB3"/>
    <w:rsid w:val="001D5E95"/>
    <w:rsid w:val="001D7132"/>
    <w:rsid w:val="001E09FA"/>
    <w:rsid w:val="001F30F0"/>
    <w:rsid w:val="001F51FD"/>
    <w:rsid w:val="001F5B9C"/>
    <w:rsid w:val="001F74B2"/>
    <w:rsid w:val="0020293E"/>
    <w:rsid w:val="00203540"/>
    <w:rsid w:val="00221D07"/>
    <w:rsid w:val="00227E4A"/>
    <w:rsid w:val="002344CA"/>
    <w:rsid w:val="00240B22"/>
    <w:rsid w:val="0024145E"/>
    <w:rsid w:val="002432EE"/>
    <w:rsid w:val="0024582E"/>
    <w:rsid w:val="002547EF"/>
    <w:rsid w:val="00256D65"/>
    <w:rsid w:val="00270A73"/>
    <w:rsid w:val="00271F00"/>
    <w:rsid w:val="00271F4B"/>
    <w:rsid w:val="002725AA"/>
    <w:rsid w:val="00273A80"/>
    <w:rsid w:val="0027513D"/>
    <w:rsid w:val="0027546B"/>
    <w:rsid w:val="00276026"/>
    <w:rsid w:val="00276618"/>
    <w:rsid w:val="00276BB3"/>
    <w:rsid w:val="0028237F"/>
    <w:rsid w:val="002851C8"/>
    <w:rsid w:val="00290E57"/>
    <w:rsid w:val="00290E69"/>
    <w:rsid w:val="00290FDA"/>
    <w:rsid w:val="00291920"/>
    <w:rsid w:val="0029204E"/>
    <w:rsid w:val="00294BAD"/>
    <w:rsid w:val="00295449"/>
    <w:rsid w:val="0029631C"/>
    <w:rsid w:val="002A0194"/>
    <w:rsid w:val="002A4D06"/>
    <w:rsid w:val="002A5F8B"/>
    <w:rsid w:val="002A7F6C"/>
    <w:rsid w:val="002B0D8E"/>
    <w:rsid w:val="002B4636"/>
    <w:rsid w:val="002C1CB4"/>
    <w:rsid w:val="002C5E36"/>
    <w:rsid w:val="002C7129"/>
    <w:rsid w:val="002D6809"/>
    <w:rsid w:val="002D69BF"/>
    <w:rsid w:val="002E086A"/>
    <w:rsid w:val="002F6488"/>
    <w:rsid w:val="003025BE"/>
    <w:rsid w:val="00306096"/>
    <w:rsid w:val="00306EBC"/>
    <w:rsid w:val="00310E84"/>
    <w:rsid w:val="00315A71"/>
    <w:rsid w:val="0031744D"/>
    <w:rsid w:val="003213F9"/>
    <w:rsid w:val="00323DBF"/>
    <w:rsid w:val="00327BAB"/>
    <w:rsid w:val="003309A8"/>
    <w:rsid w:val="00332B12"/>
    <w:rsid w:val="00336711"/>
    <w:rsid w:val="00344171"/>
    <w:rsid w:val="00345907"/>
    <w:rsid w:val="0034635B"/>
    <w:rsid w:val="00347935"/>
    <w:rsid w:val="00350446"/>
    <w:rsid w:val="00350DBD"/>
    <w:rsid w:val="00351516"/>
    <w:rsid w:val="00351927"/>
    <w:rsid w:val="00351B07"/>
    <w:rsid w:val="003550E8"/>
    <w:rsid w:val="0036268A"/>
    <w:rsid w:val="0036330D"/>
    <w:rsid w:val="00364841"/>
    <w:rsid w:val="00371B29"/>
    <w:rsid w:val="00372182"/>
    <w:rsid w:val="003747BF"/>
    <w:rsid w:val="0037520F"/>
    <w:rsid w:val="00385A01"/>
    <w:rsid w:val="00391769"/>
    <w:rsid w:val="003940AF"/>
    <w:rsid w:val="003953E1"/>
    <w:rsid w:val="003956B3"/>
    <w:rsid w:val="003A68BE"/>
    <w:rsid w:val="003A6925"/>
    <w:rsid w:val="003A7725"/>
    <w:rsid w:val="003B0E41"/>
    <w:rsid w:val="003B368B"/>
    <w:rsid w:val="003B3C9D"/>
    <w:rsid w:val="003B78E0"/>
    <w:rsid w:val="003C4969"/>
    <w:rsid w:val="003C7D7F"/>
    <w:rsid w:val="003D1323"/>
    <w:rsid w:val="003D2DDA"/>
    <w:rsid w:val="003E362A"/>
    <w:rsid w:val="003E41D5"/>
    <w:rsid w:val="003E46BA"/>
    <w:rsid w:val="003E4B82"/>
    <w:rsid w:val="003E7D22"/>
    <w:rsid w:val="003F1A8F"/>
    <w:rsid w:val="003F5FE7"/>
    <w:rsid w:val="003F74C1"/>
    <w:rsid w:val="00405B1A"/>
    <w:rsid w:val="00407241"/>
    <w:rsid w:val="0040761E"/>
    <w:rsid w:val="00407DF4"/>
    <w:rsid w:val="00410C76"/>
    <w:rsid w:val="00411907"/>
    <w:rsid w:val="00413CA8"/>
    <w:rsid w:val="00417EE3"/>
    <w:rsid w:val="004207EB"/>
    <w:rsid w:val="00427E54"/>
    <w:rsid w:val="00433B39"/>
    <w:rsid w:val="00435AA9"/>
    <w:rsid w:val="00435FA5"/>
    <w:rsid w:val="00436B8D"/>
    <w:rsid w:val="00437276"/>
    <w:rsid w:val="00442B3F"/>
    <w:rsid w:val="00447E67"/>
    <w:rsid w:val="00451854"/>
    <w:rsid w:val="0045556F"/>
    <w:rsid w:val="00456B54"/>
    <w:rsid w:val="00457930"/>
    <w:rsid w:val="00461F52"/>
    <w:rsid w:val="0046301A"/>
    <w:rsid w:val="00464643"/>
    <w:rsid w:val="004646F8"/>
    <w:rsid w:val="00470E2A"/>
    <w:rsid w:val="00476A10"/>
    <w:rsid w:val="004830DB"/>
    <w:rsid w:val="00484614"/>
    <w:rsid w:val="00485BA5"/>
    <w:rsid w:val="00486793"/>
    <w:rsid w:val="004A2037"/>
    <w:rsid w:val="004A3685"/>
    <w:rsid w:val="004A3BF7"/>
    <w:rsid w:val="004A4B44"/>
    <w:rsid w:val="004A5225"/>
    <w:rsid w:val="004A5CBA"/>
    <w:rsid w:val="004C2CE7"/>
    <w:rsid w:val="004C6EC0"/>
    <w:rsid w:val="004D30A6"/>
    <w:rsid w:val="004E0E3E"/>
    <w:rsid w:val="004E2794"/>
    <w:rsid w:val="004E791C"/>
    <w:rsid w:val="004F4F98"/>
    <w:rsid w:val="004F69F6"/>
    <w:rsid w:val="004F79AC"/>
    <w:rsid w:val="005017CF"/>
    <w:rsid w:val="00512290"/>
    <w:rsid w:val="005151BD"/>
    <w:rsid w:val="005207D8"/>
    <w:rsid w:val="00520D04"/>
    <w:rsid w:val="00521F70"/>
    <w:rsid w:val="00531B21"/>
    <w:rsid w:val="0053464E"/>
    <w:rsid w:val="0053502D"/>
    <w:rsid w:val="00535B56"/>
    <w:rsid w:val="00545135"/>
    <w:rsid w:val="005521E7"/>
    <w:rsid w:val="00552702"/>
    <w:rsid w:val="00553969"/>
    <w:rsid w:val="00562917"/>
    <w:rsid w:val="005654A6"/>
    <w:rsid w:val="00570B27"/>
    <w:rsid w:val="005764E2"/>
    <w:rsid w:val="00577DC1"/>
    <w:rsid w:val="00580026"/>
    <w:rsid w:val="00582364"/>
    <w:rsid w:val="00582AF8"/>
    <w:rsid w:val="00585910"/>
    <w:rsid w:val="00586228"/>
    <w:rsid w:val="00590C86"/>
    <w:rsid w:val="0059227F"/>
    <w:rsid w:val="00592CAB"/>
    <w:rsid w:val="0059389E"/>
    <w:rsid w:val="0059498B"/>
    <w:rsid w:val="00595C94"/>
    <w:rsid w:val="005A0E5D"/>
    <w:rsid w:val="005A3A03"/>
    <w:rsid w:val="005B01E7"/>
    <w:rsid w:val="005B2A10"/>
    <w:rsid w:val="005B4085"/>
    <w:rsid w:val="005B615C"/>
    <w:rsid w:val="005B6AF4"/>
    <w:rsid w:val="005C04CB"/>
    <w:rsid w:val="005C05FA"/>
    <w:rsid w:val="005C6ADE"/>
    <w:rsid w:val="005C71BA"/>
    <w:rsid w:val="005D16AD"/>
    <w:rsid w:val="005D72E1"/>
    <w:rsid w:val="005E2F53"/>
    <w:rsid w:val="005E3AFF"/>
    <w:rsid w:val="005E6E16"/>
    <w:rsid w:val="005F37D1"/>
    <w:rsid w:val="005F400E"/>
    <w:rsid w:val="005F7342"/>
    <w:rsid w:val="00603A08"/>
    <w:rsid w:val="006066BC"/>
    <w:rsid w:val="00606C88"/>
    <w:rsid w:val="00610A3C"/>
    <w:rsid w:val="00614053"/>
    <w:rsid w:val="00627F48"/>
    <w:rsid w:val="00631BF5"/>
    <w:rsid w:val="00633ACA"/>
    <w:rsid w:val="006342E0"/>
    <w:rsid w:val="0063749B"/>
    <w:rsid w:val="00642A47"/>
    <w:rsid w:val="00646CF8"/>
    <w:rsid w:val="00646FDD"/>
    <w:rsid w:val="00647F5E"/>
    <w:rsid w:val="00657F08"/>
    <w:rsid w:val="00662BD8"/>
    <w:rsid w:val="00663FCF"/>
    <w:rsid w:val="006652A2"/>
    <w:rsid w:val="00665F65"/>
    <w:rsid w:val="00681754"/>
    <w:rsid w:val="00681D53"/>
    <w:rsid w:val="00682294"/>
    <w:rsid w:val="00683E69"/>
    <w:rsid w:val="00686C05"/>
    <w:rsid w:val="00690D23"/>
    <w:rsid w:val="006937FF"/>
    <w:rsid w:val="006965BF"/>
    <w:rsid w:val="006A2684"/>
    <w:rsid w:val="006A35FC"/>
    <w:rsid w:val="006A48A7"/>
    <w:rsid w:val="006B4BA1"/>
    <w:rsid w:val="006C28E2"/>
    <w:rsid w:val="006C3392"/>
    <w:rsid w:val="006C5B0E"/>
    <w:rsid w:val="006C5CF5"/>
    <w:rsid w:val="006D2B0C"/>
    <w:rsid w:val="006D67B7"/>
    <w:rsid w:val="006F04D6"/>
    <w:rsid w:val="006F4A82"/>
    <w:rsid w:val="00700239"/>
    <w:rsid w:val="0070294E"/>
    <w:rsid w:val="0070373B"/>
    <w:rsid w:val="007074B8"/>
    <w:rsid w:val="00707E72"/>
    <w:rsid w:val="007113EB"/>
    <w:rsid w:val="00711796"/>
    <w:rsid w:val="0072150F"/>
    <w:rsid w:val="00723C21"/>
    <w:rsid w:val="00724261"/>
    <w:rsid w:val="00724FA4"/>
    <w:rsid w:val="00726C2F"/>
    <w:rsid w:val="00730800"/>
    <w:rsid w:val="007368AB"/>
    <w:rsid w:val="00737902"/>
    <w:rsid w:val="00740113"/>
    <w:rsid w:val="00741EFE"/>
    <w:rsid w:val="007461ED"/>
    <w:rsid w:val="007602AA"/>
    <w:rsid w:val="007652EF"/>
    <w:rsid w:val="007668DD"/>
    <w:rsid w:val="007717A1"/>
    <w:rsid w:val="00772BDC"/>
    <w:rsid w:val="00773033"/>
    <w:rsid w:val="00780792"/>
    <w:rsid w:val="007822A4"/>
    <w:rsid w:val="007A44B4"/>
    <w:rsid w:val="007A7D3D"/>
    <w:rsid w:val="007B0893"/>
    <w:rsid w:val="007B225D"/>
    <w:rsid w:val="007C174F"/>
    <w:rsid w:val="007C1C64"/>
    <w:rsid w:val="007D40A1"/>
    <w:rsid w:val="007D7826"/>
    <w:rsid w:val="007E48BC"/>
    <w:rsid w:val="007E64BD"/>
    <w:rsid w:val="007E79F7"/>
    <w:rsid w:val="007F3630"/>
    <w:rsid w:val="008007C8"/>
    <w:rsid w:val="0080351A"/>
    <w:rsid w:val="008065BE"/>
    <w:rsid w:val="00807559"/>
    <w:rsid w:val="0081254A"/>
    <w:rsid w:val="00815005"/>
    <w:rsid w:val="0082559B"/>
    <w:rsid w:val="00841BBD"/>
    <w:rsid w:val="008450BC"/>
    <w:rsid w:val="00851A60"/>
    <w:rsid w:val="0085334B"/>
    <w:rsid w:val="00867B23"/>
    <w:rsid w:val="00867F4B"/>
    <w:rsid w:val="00870214"/>
    <w:rsid w:val="00872240"/>
    <w:rsid w:val="00876515"/>
    <w:rsid w:val="0087782E"/>
    <w:rsid w:val="00880F59"/>
    <w:rsid w:val="008828D9"/>
    <w:rsid w:val="00884AB7"/>
    <w:rsid w:val="00885C51"/>
    <w:rsid w:val="00885EB0"/>
    <w:rsid w:val="0089264A"/>
    <w:rsid w:val="00896B85"/>
    <w:rsid w:val="008A22BE"/>
    <w:rsid w:val="008A3221"/>
    <w:rsid w:val="008A35FB"/>
    <w:rsid w:val="008A4A2B"/>
    <w:rsid w:val="008A74AC"/>
    <w:rsid w:val="008B0075"/>
    <w:rsid w:val="008B2DDA"/>
    <w:rsid w:val="008B5A1C"/>
    <w:rsid w:val="008B6517"/>
    <w:rsid w:val="008C0E7A"/>
    <w:rsid w:val="008C1B36"/>
    <w:rsid w:val="008D06C6"/>
    <w:rsid w:val="008E3577"/>
    <w:rsid w:val="008E6250"/>
    <w:rsid w:val="008E6292"/>
    <w:rsid w:val="009017FB"/>
    <w:rsid w:val="00902AF6"/>
    <w:rsid w:val="00905340"/>
    <w:rsid w:val="009079C8"/>
    <w:rsid w:val="00910A30"/>
    <w:rsid w:val="00914030"/>
    <w:rsid w:val="00920249"/>
    <w:rsid w:val="00924C80"/>
    <w:rsid w:val="009250C5"/>
    <w:rsid w:val="00932F14"/>
    <w:rsid w:val="00935A18"/>
    <w:rsid w:val="00936C5B"/>
    <w:rsid w:val="0094247F"/>
    <w:rsid w:val="00942D60"/>
    <w:rsid w:val="00944BA4"/>
    <w:rsid w:val="00950484"/>
    <w:rsid w:val="0096072E"/>
    <w:rsid w:val="0096523B"/>
    <w:rsid w:val="00966EE3"/>
    <w:rsid w:val="0097212F"/>
    <w:rsid w:val="00972D06"/>
    <w:rsid w:val="00974009"/>
    <w:rsid w:val="00987D3C"/>
    <w:rsid w:val="009A391C"/>
    <w:rsid w:val="009A3E99"/>
    <w:rsid w:val="009A50F2"/>
    <w:rsid w:val="009A69D5"/>
    <w:rsid w:val="009C3A41"/>
    <w:rsid w:val="009C4322"/>
    <w:rsid w:val="009D3BC7"/>
    <w:rsid w:val="009D790B"/>
    <w:rsid w:val="009E05A0"/>
    <w:rsid w:val="009E0A61"/>
    <w:rsid w:val="009E3010"/>
    <w:rsid w:val="009F007E"/>
    <w:rsid w:val="009F014C"/>
    <w:rsid w:val="009F5901"/>
    <w:rsid w:val="009F7065"/>
    <w:rsid w:val="00A12B44"/>
    <w:rsid w:val="00A15B79"/>
    <w:rsid w:val="00A27A70"/>
    <w:rsid w:val="00A30C2E"/>
    <w:rsid w:val="00A321EF"/>
    <w:rsid w:val="00A32219"/>
    <w:rsid w:val="00A33ADE"/>
    <w:rsid w:val="00A36EB6"/>
    <w:rsid w:val="00A40193"/>
    <w:rsid w:val="00A4175D"/>
    <w:rsid w:val="00A54934"/>
    <w:rsid w:val="00A56DC7"/>
    <w:rsid w:val="00A56E34"/>
    <w:rsid w:val="00A6353C"/>
    <w:rsid w:val="00A63760"/>
    <w:rsid w:val="00A70261"/>
    <w:rsid w:val="00A70630"/>
    <w:rsid w:val="00A737F0"/>
    <w:rsid w:val="00A74FD1"/>
    <w:rsid w:val="00A84A58"/>
    <w:rsid w:val="00A91DF1"/>
    <w:rsid w:val="00AA309E"/>
    <w:rsid w:val="00AB0275"/>
    <w:rsid w:val="00AB68CF"/>
    <w:rsid w:val="00AB6D7B"/>
    <w:rsid w:val="00AB7D81"/>
    <w:rsid w:val="00AC56A7"/>
    <w:rsid w:val="00AC72CF"/>
    <w:rsid w:val="00AC74CB"/>
    <w:rsid w:val="00AC7937"/>
    <w:rsid w:val="00AD2061"/>
    <w:rsid w:val="00AD22F9"/>
    <w:rsid w:val="00AD7A3D"/>
    <w:rsid w:val="00AE4E6E"/>
    <w:rsid w:val="00AE766D"/>
    <w:rsid w:val="00AF06FC"/>
    <w:rsid w:val="00AF3391"/>
    <w:rsid w:val="00AF387F"/>
    <w:rsid w:val="00AF3CB9"/>
    <w:rsid w:val="00AF602C"/>
    <w:rsid w:val="00AF787E"/>
    <w:rsid w:val="00B00E7F"/>
    <w:rsid w:val="00B05823"/>
    <w:rsid w:val="00B173DA"/>
    <w:rsid w:val="00B2030B"/>
    <w:rsid w:val="00B21DCC"/>
    <w:rsid w:val="00B25F37"/>
    <w:rsid w:val="00B278B5"/>
    <w:rsid w:val="00B34383"/>
    <w:rsid w:val="00B44422"/>
    <w:rsid w:val="00B46EA0"/>
    <w:rsid w:val="00B51E03"/>
    <w:rsid w:val="00B71F51"/>
    <w:rsid w:val="00B72983"/>
    <w:rsid w:val="00B731D3"/>
    <w:rsid w:val="00B839A3"/>
    <w:rsid w:val="00B853D2"/>
    <w:rsid w:val="00B902BD"/>
    <w:rsid w:val="00B95202"/>
    <w:rsid w:val="00B9694C"/>
    <w:rsid w:val="00BA0192"/>
    <w:rsid w:val="00BA24E2"/>
    <w:rsid w:val="00BB37B6"/>
    <w:rsid w:val="00BB5930"/>
    <w:rsid w:val="00BB7197"/>
    <w:rsid w:val="00BC6E38"/>
    <w:rsid w:val="00BD2A39"/>
    <w:rsid w:val="00BD2E80"/>
    <w:rsid w:val="00BD3997"/>
    <w:rsid w:val="00BD6DD7"/>
    <w:rsid w:val="00BE11B8"/>
    <w:rsid w:val="00BE3818"/>
    <w:rsid w:val="00BF03F0"/>
    <w:rsid w:val="00BF29CF"/>
    <w:rsid w:val="00BF4898"/>
    <w:rsid w:val="00BF4F8D"/>
    <w:rsid w:val="00BF6EAE"/>
    <w:rsid w:val="00BF7FF0"/>
    <w:rsid w:val="00C010DD"/>
    <w:rsid w:val="00C1084B"/>
    <w:rsid w:val="00C12502"/>
    <w:rsid w:val="00C1266C"/>
    <w:rsid w:val="00C14FD2"/>
    <w:rsid w:val="00C264A4"/>
    <w:rsid w:val="00C35469"/>
    <w:rsid w:val="00C36578"/>
    <w:rsid w:val="00C36D4A"/>
    <w:rsid w:val="00C37392"/>
    <w:rsid w:val="00C40AA5"/>
    <w:rsid w:val="00C42AA5"/>
    <w:rsid w:val="00C46F70"/>
    <w:rsid w:val="00C476D0"/>
    <w:rsid w:val="00C534E0"/>
    <w:rsid w:val="00C56F71"/>
    <w:rsid w:val="00C57E6A"/>
    <w:rsid w:val="00C57EE5"/>
    <w:rsid w:val="00C61BFA"/>
    <w:rsid w:val="00C63580"/>
    <w:rsid w:val="00C74E2B"/>
    <w:rsid w:val="00C75298"/>
    <w:rsid w:val="00C77496"/>
    <w:rsid w:val="00C77D24"/>
    <w:rsid w:val="00C82394"/>
    <w:rsid w:val="00C836E3"/>
    <w:rsid w:val="00C8538B"/>
    <w:rsid w:val="00C85636"/>
    <w:rsid w:val="00C85F3D"/>
    <w:rsid w:val="00C86577"/>
    <w:rsid w:val="00C92E07"/>
    <w:rsid w:val="00C94942"/>
    <w:rsid w:val="00C95A55"/>
    <w:rsid w:val="00C96868"/>
    <w:rsid w:val="00C96A50"/>
    <w:rsid w:val="00CA0416"/>
    <w:rsid w:val="00CA7F35"/>
    <w:rsid w:val="00CB1375"/>
    <w:rsid w:val="00CB23BF"/>
    <w:rsid w:val="00CB251F"/>
    <w:rsid w:val="00CB2774"/>
    <w:rsid w:val="00CB503F"/>
    <w:rsid w:val="00CB6212"/>
    <w:rsid w:val="00CB7606"/>
    <w:rsid w:val="00CC068A"/>
    <w:rsid w:val="00CC36E7"/>
    <w:rsid w:val="00CC560B"/>
    <w:rsid w:val="00CC75E2"/>
    <w:rsid w:val="00CD2B35"/>
    <w:rsid w:val="00CD46EB"/>
    <w:rsid w:val="00CD4D9A"/>
    <w:rsid w:val="00CD7EBF"/>
    <w:rsid w:val="00CE0AEB"/>
    <w:rsid w:val="00CE25C8"/>
    <w:rsid w:val="00D0160A"/>
    <w:rsid w:val="00D04529"/>
    <w:rsid w:val="00D056F1"/>
    <w:rsid w:val="00D062E4"/>
    <w:rsid w:val="00D11171"/>
    <w:rsid w:val="00D14405"/>
    <w:rsid w:val="00D22F3C"/>
    <w:rsid w:val="00D23DB6"/>
    <w:rsid w:val="00D26458"/>
    <w:rsid w:val="00D26814"/>
    <w:rsid w:val="00D3171B"/>
    <w:rsid w:val="00D33F56"/>
    <w:rsid w:val="00D43FE6"/>
    <w:rsid w:val="00D51A95"/>
    <w:rsid w:val="00D53E8A"/>
    <w:rsid w:val="00D56DA5"/>
    <w:rsid w:val="00D57614"/>
    <w:rsid w:val="00D60568"/>
    <w:rsid w:val="00D621B4"/>
    <w:rsid w:val="00D657A3"/>
    <w:rsid w:val="00D70C7A"/>
    <w:rsid w:val="00D73931"/>
    <w:rsid w:val="00D74467"/>
    <w:rsid w:val="00D76B93"/>
    <w:rsid w:val="00D81D38"/>
    <w:rsid w:val="00D8361E"/>
    <w:rsid w:val="00D8470F"/>
    <w:rsid w:val="00D8471A"/>
    <w:rsid w:val="00D84A8F"/>
    <w:rsid w:val="00DA10A8"/>
    <w:rsid w:val="00DA1D6C"/>
    <w:rsid w:val="00DA544C"/>
    <w:rsid w:val="00DB1E08"/>
    <w:rsid w:val="00DB22AA"/>
    <w:rsid w:val="00DB2973"/>
    <w:rsid w:val="00DB324A"/>
    <w:rsid w:val="00DB5540"/>
    <w:rsid w:val="00DB7A08"/>
    <w:rsid w:val="00DC1B56"/>
    <w:rsid w:val="00DC2129"/>
    <w:rsid w:val="00DC3C72"/>
    <w:rsid w:val="00DC6570"/>
    <w:rsid w:val="00DD3220"/>
    <w:rsid w:val="00DD3C5E"/>
    <w:rsid w:val="00DD5D7B"/>
    <w:rsid w:val="00DE79D9"/>
    <w:rsid w:val="00DF0506"/>
    <w:rsid w:val="00DF25C3"/>
    <w:rsid w:val="00DF5106"/>
    <w:rsid w:val="00E02006"/>
    <w:rsid w:val="00E04062"/>
    <w:rsid w:val="00E041F5"/>
    <w:rsid w:val="00E063C6"/>
    <w:rsid w:val="00E1108E"/>
    <w:rsid w:val="00E12F8A"/>
    <w:rsid w:val="00E2003B"/>
    <w:rsid w:val="00E203C2"/>
    <w:rsid w:val="00E24DE8"/>
    <w:rsid w:val="00E263A7"/>
    <w:rsid w:val="00E279D8"/>
    <w:rsid w:val="00E319B1"/>
    <w:rsid w:val="00E3401B"/>
    <w:rsid w:val="00E408DF"/>
    <w:rsid w:val="00E40ED4"/>
    <w:rsid w:val="00E44E0D"/>
    <w:rsid w:val="00E46377"/>
    <w:rsid w:val="00E520FE"/>
    <w:rsid w:val="00E5492F"/>
    <w:rsid w:val="00E62DEF"/>
    <w:rsid w:val="00E67136"/>
    <w:rsid w:val="00E70A86"/>
    <w:rsid w:val="00E70D05"/>
    <w:rsid w:val="00E7286C"/>
    <w:rsid w:val="00E7391C"/>
    <w:rsid w:val="00E75054"/>
    <w:rsid w:val="00E751D6"/>
    <w:rsid w:val="00E777EC"/>
    <w:rsid w:val="00E80FCD"/>
    <w:rsid w:val="00E81F6E"/>
    <w:rsid w:val="00E9078C"/>
    <w:rsid w:val="00E94FFC"/>
    <w:rsid w:val="00EA1182"/>
    <w:rsid w:val="00EA4D57"/>
    <w:rsid w:val="00EA7F2F"/>
    <w:rsid w:val="00EB0F50"/>
    <w:rsid w:val="00EC00DE"/>
    <w:rsid w:val="00EC30E1"/>
    <w:rsid w:val="00EC45CA"/>
    <w:rsid w:val="00ED172A"/>
    <w:rsid w:val="00EE0A23"/>
    <w:rsid w:val="00EE107C"/>
    <w:rsid w:val="00EE4E5E"/>
    <w:rsid w:val="00EE5AB8"/>
    <w:rsid w:val="00EE5D37"/>
    <w:rsid w:val="00EF0DFB"/>
    <w:rsid w:val="00EF6CA0"/>
    <w:rsid w:val="00F0750B"/>
    <w:rsid w:val="00F14BEC"/>
    <w:rsid w:val="00F225C5"/>
    <w:rsid w:val="00F22D8F"/>
    <w:rsid w:val="00F2587A"/>
    <w:rsid w:val="00F30684"/>
    <w:rsid w:val="00F33BB8"/>
    <w:rsid w:val="00F350B2"/>
    <w:rsid w:val="00F367E7"/>
    <w:rsid w:val="00F3715D"/>
    <w:rsid w:val="00F420C8"/>
    <w:rsid w:val="00F42924"/>
    <w:rsid w:val="00F42937"/>
    <w:rsid w:val="00F42A4C"/>
    <w:rsid w:val="00F472F3"/>
    <w:rsid w:val="00F53B04"/>
    <w:rsid w:val="00F56EDD"/>
    <w:rsid w:val="00F604DE"/>
    <w:rsid w:val="00F630D8"/>
    <w:rsid w:val="00F6348F"/>
    <w:rsid w:val="00F64653"/>
    <w:rsid w:val="00F8547B"/>
    <w:rsid w:val="00F8589E"/>
    <w:rsid w:val="00F86F58"/>
    <w:rsid w:val="00F95F4A"/>
    <w:rsid w:val="00FA2562"/>
    <w:rsid w:val="00FA3471"/>
    <w:rsid w:val="00FA4491"/>
    <w:rsid w:val="00FA48E2"/>
    <w:rsid w:val="00FA4D75"/>
    <w:rsid w:val="00FB1533"/>
    <w:rsid w:val="00FB67A3"/>
    <w:rsid w:val="00FB7512"/>
    <w:rsid w:val="00FD2FBE"/>
    <w:rsid w:val="00FD4086"/>
    <w:rsid w:val="00FD7547"/>
    <w:rsid w:val="00FF0CAA"/>
    <w:rsid w:val="00FF4699"/>
    <w:rsid w:val="00FF5F5C"/>
    <w:rsid w:val="00FF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A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6C5B0E"/>
    <w:pPr>
      <w:ind w:left="720"/>
      <w:contextualSpacing/>
    </w:pPr>
  </w:style>
  <w:style w:type="table" w:customStyle="1" w:styleId="TableGrid1">
    <w:name w:val="Table Grid1"/>
    <w:basedOn w:val="TableNormal"/>
    <w:next w:val="TableGrid"/>
    <w:uiPriority w:val="59"/>
    <w:rsid w:val="005764E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1877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0B4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25430"/>
    <w:pPr>
      <w:autoSpaceDE w:val="0"/>
      <w:autoSpaceDN w:val="0"/>
      <w:adjustRightInd w:val="0"/>
    </w:pPr>
    <w:rPr>
      <w:rFonts w:ascii="Arial" w:hAnsi="Arial" w:cs="Arial"/>
      <w:color w:val="000000"/>
      <w:sz w:val="24"/>
      <w:szCs w:val="24"/>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6C5B0E"/>
    <w:pPr>
      <w:ind w:left="720"/>
      <w:contextualSpacing/>
    </w:pPr>
  </w:style>
  <w:style w:type="table" w:customStyle="1" w:styleId="TableGrid1">
    <w:name w:val="Table Grid1"/>
    <w:basedOn w:val="TableNormal"/>
    <w:next w:val="TableGrid"/>
    <w:uiPriority w:val="59"/>
    <w:rsid w:val="005764E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1877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0B4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25430"/>
    <w:pPr>
      <w:autoSpaceDE w:val="0"/>
      <w:autoSpaceDN w:val="0"/>
      <w:adjustRightInd w:val="0"/>
    </w:pPr>
    <w:rPr>
      <w:rFonts w:ascii="Arial" w:hAnsi="Arial" w:cs="Arial"/>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2199964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0850634">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89547888">
      <w:bodyDiv w:val="1"/>
      <w:marLeft w:val="0"/>
      <w:marRight w:val="0"/>
      <w:marTop w:val="0"/>
      <w:marBottom w:val="0"/>
      <w:divBdr>
        <w:top w:val="none" w:sz="0" w:space="0" w:color="auto"/>
        <w:left w:val="none" w:sz="0" w:space="0" w:color="auto"/>
        <w:bottom w:val="none" w:sz="0" w:space="0" w:color="auto"/>
        <w:right w:val="none" w:sz="0" w:space="0" w:color="auto"/>
      </w:divBdr>
    </w:div>
    <w:div w:id="2006206700">
      <w:bodyDiv w:val="1"/>
      <w:marLeft w:val="0"/>
      <w:marRight w:val="0"/>
      <w:marTop w:val="0"/>
      <w:marBottom w:val="0"/>
      <w:divBdr>
        <w:top w:val="none" w:sz="0" w:space="0" w:color="auto"/>
        <w:left w:val="none" w:sz="0" w:space="0" w:color="auto"/>
        <w:bottom w:val="none" w:sz="0" w:space="0" w:color="auto"/>
        <w:right w:val="none" w:sz="0" w:space="0" w:color="auto"/>
      </w:divBdr>
    </w:div>
    <w:div w:id="201013394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eur-lex.europa.eu/LexUriServ/LexUriServ.do?uri=OJ:L:2011:295:0001:0177:En:PDF"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codexalimentarius.net/gsfaonline/docs/CXS_192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www.ffcr.or.jp/zaidan/FFCRHOME.nsf/7bd44c20b0dc562649256502001b65e9/8a4352b95978b195492569990007fbaa/$FILE/Standards%20for%20Use%2015May%201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t.nz/code/applications/Pages/A1100MaxPermit-Ace-KinChewing-Gum.aspx" TargetMode="External"/><Relationship Id="rId32" Type="http://schemas.openxmlformats.org/officeDocument/2006/relationships/fontTable" Target="fontTable.xml"/><Relationship Id="rId28" Type="http://schemas.openxmlformats.org/officeDocument/2006/relationships/hyperlink" Target="http://www.hc-sc.gc.ca/fn-an/securit/addit/list/9-sweetener-edulcorant-eng.php"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image" Target="media/image2.png"/><Relationship Id="rId30" Type="http://schemas.openxmlformats.org/officeDocument/2006/relationships/hyperlink" Target="http://www.accessdata.fda.gov/scripts/cdrh/cfdocs/cfcfr/cfrsearch.cfm?fr=172.800" TargetMode="Externa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www.hc-sc.gc.ca/fn-an/consult/nom-adm-0006/document-consultation-eng.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Pages/Revised-code-list-of-standards-and-schedu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f7696fbb53a522343cce68f2975b384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40845d955131be7d32b4d88eee1af54"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0683D-9A11-4BE2-B995-E53B789228E9}"/>
</file>

<file path=customXml/itemProps2.xml><?xml version="1.0" encoding="utf-8"?>
<ds:datastoreItem xmlns:ds="http://schemas.openxmlformats.org/officeDocument/2006/customXml" ds:itemID="{4111472B-DA01-40D5-9211-A302333F5188}"/>
</file>

<file path=customXml/itemProps3.xml><?xml version="1.0" encoding="utf-8"?>
<ds:datastoreItem xmlns:ds="http://schemas.openxmlformats.org/officeDocument/2006/customXml" ds:itemID="{E203932E-F806-40E0-AC66-E608EFE9D1E0}"/>
</file>

<file path=customXml/itemProps4.xml><?xml version="1.0" encoding="utf-8"?>
<ds:datastoreItem xmlns:ds="http://schemas.openxmlformats.org/officeDocument/2006/customXml" ds:itemID="{B1A92512-80AB-441A-9E73-64A13905298C}"/>
</file>

<file path=customXml/itemProps5.xml><?xml version="1.0" encoding="utf-8"?>
<ds:datastoreItem xmlns:ds="http://schemas.openxmlformats.org/officeDocument/2006/customXml" ds:itemID="{8D75DA03-F983-4978-B097-ED3044533B00}"/>
</file>

<file path=customXml/itemProps6.xml><?xml version="1.0" encoding="utf-8"?>
<ds:datastoreItem xmlns:ds="http://schemas.openxmlformats.org/officeDocument/2006/customXml" ds:itemID="{D8AB1EFF-B8C3-4E3D-B93B-87D239CEB864}"/>
</file>

<file path=docProps/app.xml><?xml version="1.0" encoding="utf-8"?>
<Properties xmlns="http://schemas.openxmlformats.org/officeDocument/2006/extended-properties" xmlns:vt="http://schemas.openxmlformats.org/officeDocument/2006/docPropsVTypes">
  <Template>Normal.dotm</Template>
  <TotalTime>852</TotalTime>
  <Pages>16</Pages>
  <Words>5525</Words>
  <Characters>31499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 EXPLANATION OF THE PROCESS ON HOW TO UNDERTAKE</vt:lpstr>
    </vt:vector>
  </TitlesOfParts>
  <Company>ANZFA</Company>
  <LinksUpToDate>false</LinksUpToDate>
  <CharactersWithSpaces>36951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EXPLANATION OF THE PROCESS ON HOW TO UNDERTAKE</dc:title>
  <dc:creator>Clapham, Lynne</dc:creator>
  <cp:lastModifiedBy>humphc</cp:lastModifiedBy>
  <cp:revision>84</cp:revision>
  <cp:lastPrinted>2015-08-18T02:30:00Z</cp:lastPrinted>
  <dcterms:created xsi:type="dcterms:W3CDTF">2015-07-20T02:22:00Z</dcterms:created>
  <dcterms:modified xsi:type="dcterms:W3CDTF">2015-08-18T06:47:00Z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155;#|e1e32ca4-364d-46d7-813a-d3141d2fc5b3</vt:lpwstr>
  </property>
  <property fmtid="{D5CDD505-2E9C-101B-9397-08002B2CF9AE}" pid="4" name="BCS_">
    <vt:lpwstr>40;#Evaluation|43bd8487-b9f6-4055-946c-a118d364275d</vt:lpwstr>
  </property>
  <property fmtid="{D5CDD505-2E9C-101B-9397-08002B2CF9AE}" pid="5" name="_dlc_DocIdItemGuid">
    <vt:lpwstr>4d65d959-dd5c-4344-a763-8b8be5a57c12</vt:lpwstr>
  </property>
</Properties>
</file>